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386" w:rsidRDefault="00416CC2" w:rsidP="00FE7386">
      <w:pPr>
        <w:jc w:val="both"/>
        <w:rPr>
          <w:rFonts w:ascii="Tw Cen MT" w:hAnsi="Tw Cen MT"/>
        </w:rPr>
      </w:pPr>
      <w:r>
        <w:rPr>
          <w:rFonts w:ascii="Tw Cen MT" w:hAnsi="Tw Cen MT"/>
          <w:noProof/>
        </w:rPr>
        <w:drawing>
          <wp:anchor distT="0" distB="0" distL="114300" distR="114300" simplePos="0" relativeHeight="251646976" behindDoc="0" locked="0" layoutInCell="1" allowOverlap="1">
            <wp:simplePos x="0" y="0"/>
            <wp:positionH relativeFrom="column">
              <wp:posOffset>3409950</wp:posOffset>
            </wp:positionH>
            <wp:positionV relativeFrom="paragraph">
              <wp:posOffset>-1157606</wp:posOffset>
            </wp:positionV>
            <wp:extent cx="3420110" cy="2409825"/>
            <wp:effectExtent l="19050" t="0" r="8890" b="0"/>
            <wp:wrapNone/>
            <wp:docPr id="7" name="rg_hi" descr="http://t0.gstatic.com/images?q=tbn:ANd9GcSFEUt9tD9jiDw76WvbFtEmsqTCz0SwRW1xHL7J3XcG0JXXhqls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FEUt9tD9jiDw76WvbFtEmsqTCz0SwRW1xHL7J3XcG0JXXhqlsNg">
                      <a:hlinkClick r:id="rId9"/>
                    </pic:cNvPr>
                    <pic:cNvPicPr>
                      <a:picLocks noChangeAspect="1" noChangeArrowheads="1"/>
                    </pic:cNvPicPr>
                  </pic:nvPicPr>
                  <pic:blipFill>
                    <a:blip r:embed="rId10" cstate="print"/>
                    <a:srcRect/>
                    <a:stretch>
                      <a:fillRect/>
                    </a:stretch>
                  </pic:blipFill>
                  <pic:spPr bwMode="auto">
                    <a:xfrm>
                      <a:off x="0" y="0"/>
                      <a:ext cx="3420110" cy="2409825"/>
                    </a:xfrm>
                    <a:prstGeom prst="rect">
                      <a:avLst/>
                    </a:prstGeom>
                    <a:noFill/>
                    <a:ln w="9525">
                      <a:noFill/>
                      <a:miter lim="800000"/>
                      <a:headEnd/>
                      <a:tailEnd/>
                    </a:ln>
                  </pic:spPr>
                </pic:pic>
              </a:graphicData>
            </a:graphic>
          </wp:anchor>
        </w:drawing>
      </w:r>
      <w:r w:rsidR="00EF524F">
        <w:rPr>
          <w:rFonts w:ascii="Tw Cen MT" w:hAnsi="Tw Cen MT"/>
          <w:noProof/>
        </w:rPr>
        <mc:AlternateContent>
          <mc:Choice Requires="wps">
            <w:drawing>
              <wp:anchor distT="0" distB="0" distL="114300" distR="114300" simplePos="0" relativeHeight="251650048" behindDoc="0" locked="0" layoutInCell="1" allowOverlap="1">
                <wp:simplePos x="0" y="0"/>
                <wp:positionH relativeFrom="column">
                  <wp:posOffset>-664845</wp:posOffset>
                </wp:positionH>
                <wp:positionV relativeFrom="paragraph">
                  <wp:posOffset>10160</wp:posOffset>
                </wp:positionV>
                <wp:extent cx="4039870" cy="680085"/>
                <wp:effectExtent l="0" t="0" r="0" b="5715"/>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870" cy="68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55A" w:rsidRPr="004F6C50" w:rsidRDefault="009F755A" w:rsidP="005B7686">
                            <w:pPr>
                              <w:tabs>
                                <w:tab w:val="left" w:pos="9180"/>
                              </w:tabs>
                              <w:jc w:val="both"/>
                              <w:rPr>
                                <w:rFonts w:ascii="Verdana" w:hAnsi="Verdana" w:cstheme="minorHAnsi"/>
                                <w:b/>
                                <w:color w:val="FFFFFF" w:themeColor="background1"/>
                                <w:sz w:val="16"/>
                              </w:rPr>
                            </w:pPr>
                            <w:r w:rsidRPr="004F6C50">
                              <w:rPr>
                                <w:rFonts w:ascii="Verdana" w:hAnsi="Verdana" w:cstheme="minorHAnsi"/>
                                <w:b/>
                                <w:color w:val="FFFFFF" w:themeColor="background1"/>
                                <w:sz w:val="16"/>
                              </w:rPr>
                              <w:t xml:space="preserve">SIC-FSL INVESTMENT RESEARCH| </w:t>
                            </w:r>
                            <w:r>
                              <w:rPr>
                                <w:rFonts w:ascii="Verdana" w:hAnsi="Verdana" w:cstheme="minorHAnsi"/>
                                <w:b/>
                                <w:color w:val="FFFFFF" w:themeColor="background1"/>
                                <w:sz w:val="16"/>
                              </w:rPr>
                              <w:t>MARKET REVIEWS|GHANA</w:t>
                            </w:r>
                          </w:p>
                          <w:p w:rsidR="009F755A" w:rsidRDefault="009F755A" w:rsidP="00A75DBC">
                            <w:pPr>
                              <w:jc w:val="both"/>
                              <w:rPr>
                                <w:rFonts w:ascii="Britannic Bold" w:hAnsi="Britannic Bold" w:cs="David"/>
                                <w:color w:val="FFFFFF" w:themeColor="background1"/>
                                <w:sz w:val="24"/>
                              </w:rPr>
                            </w:pPr>
                            <w:r>
                              <w:rPr>
                                <w:rFonts w:ascii="Britannic Bold" w:hAnsi="Britannic Bold" w:cs="David"/>
                                <w:color w:val="FFFFFF" w:themeColor="background1"/>
                                <w:sz w:val="24"/>
                              </w:rPr>
                              <w:t>23</w:t>
                            </w:r>
                            <w:r w:rsidRPr="00AA5327">
                              <w:rPr>
                                <w:rFonts w:ascii="Britannic Bold" w:hAnsi="Britannic Bold" w:cs="David"/>
                                <w:color w:val="FFFFFF" w:themeColor="background1"/>
                                <w:sz w:val="24"/>
                                <w:vertAlign w:val="superscript"/>
                              </w:rPr>
                              <w:t>rd</w:t>
                            </w:r>
                            <w:r>
                              <w:rPr>
                                <w:rFonts w:ascii="Britannic Bold" w:hAnsi="Britannic Bold" w:cs="David"/>
                                <w:color w:val="FFFFFF" w:themeColor="background1"/>
                                <w:sz w:val="24"/>
                              </w:rPr>
                              <w:t xml:space="preserve"> September, 2015</w:t>
                            </w:r>
                          </w:p>
                          <w:p w:rsidR="009F755A" w:rsidRDefault="009F755A" w:rsidP="00A75DBC">
                            <w:pPr>
                              <w:jc w:val="both"/>
                              <w:rPr>
                                <w:rFonts w:ascii="Britannic Bold" w:hAnsi="Britannic Bold" w:cs="David"/>
                                <w:color w:val="FFFFFF" w:themeColor="background1"/>
                                <w:sz w:val="24"/>
                              </w:rPr>
                            </w:pPr>
                          </w:p>
                          <w:p w:rsidR="009F755A" w:rsidRDefault="009F755A" w:rsidP="00A75DBC">
                            <w:pPr>
                              <w:jc w:val="both"/>
                              <w:rPr>
                                <w:rFonts w:ascii="Britannic Bold" w:hAnsi="Britannic Bold" w:cs="David"/>
                                <w:color w:val="FFFFFF" w:themeColor="background1"/>
                                <w:sz w:val="24"/>
                              </w:rPr>
                            </w:pPr>
                          </w:p>
                          <w:p w:rsidR="009F755A" w:rsidRPr="00FD1E56" w:rsidRDefault="009F755A" w:rsidP="00A75DBC">
                            <w:pPr>
                              <w:jc w:val="both"/>
                              <w:rPr>
                                <w:rFonts w:ascii="Verdana" w:hAnsi="Verdana" w:cs="David"/>
                                <w:b/>
                                <w:color w:val="FFFFFF" w:themeColor="background1"/>
                                <w:sz w:val="16"/>
                                <w:szCs w:val="16"/>
                              </w:rPr>
                            </w:pPr>
                            <w:r w:rsidRPr="00FD1E56">
                              <w:rPr>
                                <w:rFonts w:ascii="Verdana" w:hAnsi="Verdana" w:cs="David"/>
                                <w:b/>
                                <w:color w:val="FFFFFF" w:themeColor="background1"/>
                                <w:sz w:val="16"/>
                                <w:szCs w:val="16"/>
                              </w:rPr>
                              <w:t>SIC FINANCIAL SERVICES LIMITED</w:t>
                            </w:r>
                            <w:r>
                              <w:rPr>
                                <w:rFonts w:ascii="Verdana" w:hAnsi="Verdana" w:cs="David"/>
                                <w:b/>
                                <w:color w:val="FFFFFF" w:themeColor="background1"/>
                                <w:sz w:val="16"/>
                                <w:szCs w:val="16"/>
                              </w:rPr>
                              <w:t>|ADVISORY|FUND MANAGEMENT|STOCK BROKERAGE|INVESTMENT RESEARCH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35pt;margin-top:.8pt;width:318.1pt;height:5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ATtw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" filled="f" stroked="f">
                <v:textbox>
                  <w:txbxContent>
                    <w:p w:rsidR="009F755A" w:rsidRPr="004F6C50" w:rsidRDefault="009F755A" w:rsidP="005B7686">
                      <w:pPr>
                        <w:tabs>
                          <w:tab w:val="left" w:pos="9180"/>
                        </w:tabs>
                        <w:jc w:val="both"/>
                        <w:rPr>
                          <w:rFonts w:ascii="Verdana" w:hAnsi="Verdana" w:cstheme="minorHAnsi"/>
                          <w:b/>
                          <w:color w:val="FFFFFF" w:themeColor="background1"/>
                          <w:sz w:val="16"/>
                        </w:rPr>
                      </w:pPr>
                      <w:r w:rsidRPr="004F6C50">
                        <w:rPr>
                          <w:rFonts w:ascii="Verdana" w:hAnsi="Verdana" w:cstheme="minorHAnsi"/>
                          <w:b/>
                          <w:color w:val="FFFFFF" w:themeColor="background1"/>
                          <w:sz w:val="16"/>
                        </w:rPr>
                        <w:t xml:space="preserve">SIC-FSL INVESTMENT RESEARCH| </w:t>
                      </w:r>
                      <w:r>
                        <w:rPr>
                          <w:rFonts w:ascii="Verdana" w:hAnsi="Verdana" w:cstheme="minorHAnsi"/>
                          <w:b/>
                          <w:color w:val="FFFFFF" w:themeColor="background1"/>
                          <w:sz w:val="16"/>
                        </w:rPr>
                        <w:t>MARKET REVIEWS|GHANA</w:t>
                      </w:r>
                    </w:p>
                    <w:p w:rsidR="009F755A" w:rsidRDefault="009F755A" w:rsidP="00A75DBC">
                      <w:pPr>
                        <w:jc w:val="both"/>
                        <w:rPr>
                          <w:rFonts w:ascii="Britannic Bold" w:hAnsi="Britannic Bold" w:cs="David"/>
                          <w:color w:val="FFFFFF" w:themeColor="background1"/>
                          <w:sz w:val="24"/>
                        </w:rPr>
                      </w:pPr>
                      <w:r>
                        <w:rPr>
                          <w:rFonts w:ascii="Britannic Bold" w:hAnsi="Britannic Bold" w:cs="David"/>
                          <w:color w:val="FFFFFF" w:themeColor="background1"/>
                          <w:sz w:val="24"/>
                        </w:rPr>
                        <w:t>23</w:t>
                      </w:r>
                      <w:r w:rsidRPr="00AA5327">
                        <w:rPr>
                          <w:rFonts w:ascii="Britannic Bold" w:hAnsi="Britannic Bold" w:cs="David"/>
                          <w:color w:val="FFFFFF" w:themeColor="background1"/>
                          <w:sz w:val="24"/>
                          <w:vertAlign w:val="superscript"/>
                        </w:rPr>
                        <w:t>rd</w:t>
                      </w:r>
                      <w:r>
                        <w:rPr>
                          <w:rFonts w:ascii="Britannic Bold" w:hAnsi="Britannic Bold" w:cs="David"/>
                          <w:color w:val="FFFFFF" w:themeColor="background1"/>
                          <w:sz w:val="24"/>
                        </w:rPr>
                        <w:t xml:space="preserve"> September, 2015</w:t>
                      </w:r>
                    </w:p>
                    <w:p w:rsidR="009F755A" w:rsidRDefault="009F755A" w:rsidP="00A75DBC">
                      <w:pPr>
                        <w:jc w:val="both"/>
                        <w:rPr>
                          <w:rFonts w:ascii="Britannic Bold" w:hAnsi="Britannic Bold" w:cs="David"/>
                          <w:color w:val="FFFFFF" w:themeColor="background1"/>
                          <w:sz w:val="24"/>
                        </w:rPr>
                      </w:pPr>
                    </w:p>
                    <w:p w:rsidR="009F755A" w:rsidRDefault="009F755A" w:rsidP="00A75DBC">
                      <w:pPr>
                        <w:jc w:val="both"/>
                        <w:rPr>
                          <w:rFonts w:ascii="Britannic Bold" w:hAnsi="Britannic Bold" w:cs="David"/>
                          <w:color w:val="FFFFFF" w:themeColor="background1"/>
                          <w:sz w:val="24"/>
                        </w:rPr>
                      </w:pPr>
                    </w:p>
                    <w:p w:rsidR="009F755A" w:rsidRPr="00FD1E56" w:rsidRDefault="009F755A" w:rsidP="00A75DBC">
                      <w:pPr>
                        <w:jc w:val="both"/>
                        <w:rPr>
                          <w:rFonts w:ascii="Verdana" w:hAnsi="Verdana" w:cs="David"/>
                          <w:b/>
                          <w:color w:val="FFFFFF" w:themeColor="background1"/>
                          <w:sz w:val="16"/>
                          <w:szCs w:val="16"/>
                        </w:rPr>
                      </w:pPr>
                      <w:r w:rsidRPr="00FD1E56">
                        <w:rPr>
                          <w:rFonts w:ascii="Verdana" w:hAnsi="Verdana" w:cs="David"/>
                          <w:b/>
                          <w:color w:val="FFFFFF" w:themeColor="background1"/>
                          <w:sz w:val="16"/>
                          <w:szCs w:val="16"/>
                        </w:rPr>
                        <w:t>SIC FINANCIAL SERVICES LIMITED</w:t>
                      </w:r>
                      <w:r>
                        <w:rPr>
                          <w:rFonts w:ascii="Verdana" w:hAnsi="Verdana" w:cs="David"/>
                          <w:b/>
                          <w:color w:val="FFFFFF" w:themeColor="background1"/>
                          <w:sz w:val="16"/>
                          <w:szCs w:val="16"/>
                        </w:rPr>
                        <w:t>|ADVISORY|FUND MANAGEMENT|STOCK BROKERAGE|INVESTMENT RESEARCH</w:t>
                      </w:r>
                    </w:p>
                  </w:txbxContent>
                </v:textbox>
              </v:shape>
            </w:pict>
          </mc:Fallback>
        </mc:AlternateContent>
      </w:r>
      <w:r w:rsidR="00EF524F">
        <w:rPr>
          <w:rFonts w:ascii="Tw Cen MT" w:hAnsi="Tw Cen MT"/>
          <w:noProof/>
        </w:rPr>
        <mc:AlternateContent>
          <mc:Choice Requires="wps">
            <w:drawing>
              <wp:anchor distT="0" distB="0" distL="114300" distR="114300" simplePos="0" relativeHeight="251670528" behindDoc="0" locked="0" layoutInCell="1" allowOverlap="1">
                <wp:simplePos x="0" y="0"/>
                <wp:positionH relativeFrom="column">
                  <wp:posOffset>-933450</wp:posOffset>
                </wp:positionH>
                <wp:positionV relativeFrom="paragraph">
                  <wp:posOffset>-1300480</wp:posOffset>
                </wp:positionV>
                <wp:extent cx="3067050" cy="666750"/>
                <wp:effectExtent l="0" t="0" r="19050" b="19050"/>
                <wp:wrapNone/>
                <wp:docPr id="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6667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F755A" w:rsidRDefault="009F755A">
                            <w:r w:rsidRPr="00DA4B72">
                              <w:rPr>
                                <w:noProof/>
                              </w:rPr>
                              <w:drawing>
                                <wp:inline distT="0" distB="0" distL="0" distR="0">
                                  <wp:extent cx="2924175" cy="600075"/>
                                  <wp:effectExtent l="19050" t="0" r="9525" b="0"/>
                                  <wp:docPr id="11" name="Picture 3" descr="C:\Users\Ebo\AppData\Local\Microsoft\Windows\Temporary Internet Files\Content.Word\FSL-FRONTAL-FINAL.JPG"/>
                                  <wp:cNvGraphicFramePr/>
                                  <a:graphic xmlns:a="http://schemas.openxmlformats.org/drawingml/2006/main">
                                    <a:graphicData uri="http://schemas.openxmlformats.org/drawingml/2006/picture">
                                      <pic:pic xmlns:pic="http://schemas.openxmlformats.org/drawingml/2006/picture">
                                        <pic:nvPicPr>
                                          <pic:cNvPr id="14" name="Picture 13" descr="C:\Users\Ebo\AppData\Local\Microsoft\Windows\Temporary Internet Files\Content.Word\FSL-FRONTAL-FINAL.JPG"/>
                                          <pic:cNvPicPr/>
                                        </pic:nvPicPr>
                                        <pic:blipFill>
                                          <a:blip r:embed="rId11" cstate="print"/>
                                          <a:stretch>
                                            <a:fillRect/>
                                          </a:stretch>
                                        </pic:blipFill>
                                        <pic:spPr bwMode="auto">
                                          <a:xfrm>
                                            <a:off x="0" y="0"/>
                                            <a:ext cx="2941720" cy="603675"/>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7" type="#_x0000_t202" style="position:absolute;left:0;text-align:left;margin-left:-73.5pt;margin-top:-102.4pt;width:241.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" fillcolor="white [3212]" strokecolor="white [3212]">
                <v:textbox>
                  <w:txbxContent>
                    <w:p w:rsidR="001254A2" w:rsidRDefault="001254A2">
                      <w:r w:rsidRPr="00DA4B72">
                        <w:rPr>
                          <w:noProof/>
                        </w:rPr>
                        <w:drawing>
                          <wp:inline distT="0" distB="0" distL="0" distR="0">
                            <wp:extent cx="2924175" cy="600075"/>
                            <wp:effectExtent l="19050" t="0" r="9525" b="0"/>
                            <wp:docPr id="11" name="Picture 3" descr="C:\Users\Ebo\AppData\Local\Microsoft\Windows\Temporary Internet Files\Content.Word\FSL-FRONTAL-FINAL.JPG"/>
                            <wp:cNvGraphicFramePr/>
                            <a:graphic xmlns:a="http://schemas.openxmlformats.org/drawingml/2006/main">
                              <a:graphicData uri="http://schemas.openxmlformats.org/drawingml/2006/picture">
                                <pic:pic xmlns:pic="http://schemas.openxmlformats.org/drawingml/2006/picture">
                                  <pic:nvPicPr>
                                    <pic:cNvPr id="14" name="Picture 13" descr="C:\Users\Ebo\AppData\Local\Microsoft\Windows\Temporary Internet Files\Content.Word\FSL-FRONTAL-FINAL.JPG"/>
                                    <pic:cNvPicPr/>
                                  </pic:nvPicPr>
                                  <pic:blipFill>
                                    <a:blip r:embed="rId12" cstate="print"/>
                                    <a:stretch>
                                      <a:fillRect/>
                                    </a:stretch>
                                  </pic:blipFill>
                                  <pic:spPr bwMode="auto">
                                    <a:xfrm>
                                      <a:off x="0" y="0"/>
                                      <a:ext cx="2941720" cy="603675"/>
                                    </a:xfrm>
                                    <a:prstGeom prst="rect">
                                      <a:avLst/>
                                    </a:prstGeom>
                                    <a:ln>
                                      <a:noFill/>
                                    </a:ln>
                                    <a:effectLst>
                                      <a:softEdge rad="112500"/>
                                    </a:effectLst>
                                  </pic:spPr>
                                </pic:pic>
                              </a:graphicData>
                            </a:graphic>
                          </wp:inline>
                        </w:drawing>
                      </w:r>
                    </w:p>
                  </w:txbxContent>
                </v:textbox>
              </v:shape>
            </w:pict>
          </mc:Fallback>
        </mc:AlternateContent>
      </w:r>
      <w:r w:rsidR="00EF524F">
        <w:rPr>
          <w:rFonts w:ascii="Tw Cen MT" w:hAnsi="Tw Cen MT"/>
          <w:noProof/>
        </w:rPr>
        <mc:AlternateContent>
          <mc:Choice Requires="wps">
            <w:drawing>
              <wp:anchor distT="0" distB="0" distL="114300" distR="114300" simplePos="0" relativeHeight="251648000" behindDoc="0" locked="0" layoutInCell="1" allowOverlap="1">
                <wp:simplePos x="0" y="0"/>
                <wp:positionH relativeFrom="column">
                  <wp:posOffset>-759460</wp:posOffset>
                </wp:positionH>
                <wp:positionV relativeFrom="paragraph">
                  <wp:posOffset>-563880</wp:posOffset>
                </wp:positionV>
                <wp:extent cx="6390005" cy="57404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55A" w:rsidRPr="00A75DBC" w:rsidRDefault="009F755A" w:rsidP="00A75DBC">
                            <w:pPr>
                              <w:rPr>
                                <w:rFonts w:ascii="Britannic Bold" w:hAnsi="Britannic Bold" w:cs="David"/>
                                <w:color w:val="FFFFFF" w:themeColor="background1"/>
                                <w:sz w:val="28"/>
                              </w:rPr>
                            </w:pPr>
                            <w:r w:rsidRPr="00A75DBC">
                              <w:rPr>
                                <w:rFonts w:ascii="Britannic Bold" w:hAnsi="Britannic Bold" w:cs="David"/>
                                <w:color w:val="FFFFFF" w:themeColor="background1"/>
                                <w:sz w:val="72"/>
                                <w:szCs w:val="60"/>
                              </w:rPr>
                              <w:t>WEEKLY MARKET WATCH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9.8pt;margin-top:-44.4pt;width:503.15pt;height:4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8SEvA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" filled="f" stroked="f">
                <v:textbox>
                  <w:txbxContent>
                    <w:p w:rsidR="001254A2" w:rsidRPr="00A75DBC" w:rsidRDefault="001254A2" w:rsidP="00A75DBC">
                      <w:pPr>
                        <w:rPr>
                          <w:rFonts w:ascii="Britannic Bold" w:hAnsi="Britannic Bold" w:cs="David"/>
                          <w:color w:val="FFFFFF" w:themeColor="background1"/>
                          <w:sz w:val="28"/>
                        </w:rPr>
                      </w:pPr>
                      <w:r w:rsidRPr="00A75DBC">
                        <w:rPr>
                          <w:rFonts w:ascii="Britannic Bold" w:hAnsi="Britannic Bold" w:cs="David"/>
                          <w:color w:val="FFFFFF" w:themeColor="background1"/>
                          <w:sz w:val="72"/>
                          <w:szCs w:val="60"/>
                        </w:rPr>
                        <w:t>WEEKLY MARKET WATCH</w:t>
                      </w:r>
                    </w:p>
                  </w:txbxContent>
                </v:textbox>
              </v:shape>
            </w:pict>
          </mc:Fallback>
        </mc:AlternateContent>
      </w:r>
      <w:r w:rsidR="00EF524F">
        <w:rPr>
          <w:rFonts w:ascii="Tw Cen MT" w:hAnsi="Tw Cen MT"/>
          <w:noProof/>
        </w:rPr>
        <mc:AlternateContent>
          <mc:Choice Requires="wps">
            <w:drawing>
              <wp:anchor distT="0" distB="0" distL="114300" distR="114300" simplePos="0" relativeHeight="251643904" behindDoc="0" locked="0" layoutInCell="1" allowOverlap="1">
                <wp:simplePos x="0" y="0"/>
                <wp:positionH relativeFrom="column">
                  <wp:posOffset>-1073785</wp:posOffset>
                </wp:positionH>
                <wp:positionV relativeFrom="paragraph">
                  <wp:posOffset>-1300480</wp:posOffset>
                </wp:positionV>
                <wp:extent cx="7931785" cy="2552065"/>
                <wp:effectExtent l="0" t="0" r="0" b="63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1785" cy="2552065"/>
                        </a:xfrm>
                        <a:prstGeom prst="rect">
                          <a:avLst/>
                        </a:prstGeom>
                        <a:solidFill>
                          <a:schemeClr val="accent1">
                            <a:lumMod val="75000"/>
                            <a:lumOff val="0"/>
                          </a:schemeClr>
                        </a:solidFill>
                        <a:ln>
                          <a:noFill/>
                        </a:ln>
                        <a:extLst>
                          <a:ext uri="{91240B29-F687-4F45-9708-019B960494DF}">
                            <a14:hiddenLine xmlns:a14="http://schemas.microsoft.com/office/drawing/2010/main" w="285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E4F413" id="Rectangle 2" o:spid="_x0000_s1026" style="position:absolute;margin-left:-84.55pt;margin-top:-102.4pt;width:624.55pt;height:20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" fillcolor="#365f91 [2404]" stroked="f" strokeweight="2.25pt"/>
            </w:pict>
          </mc:Fallback>
        </mc:AlternateContent>
      </w:r>
      <w:r w:rsidR="0052005A">
        <w:rPr>
          <w:rFonts w:ascii="Tw Cen MT" w:hAnsi="Tw Cen MT"/>
        </w:rPr>
        <w:t>+</w:t>
      </w:r>
    </w:p>
    <w:p w:rsidR="00FE7386" w:rsidRPr="00FE7386" w:rsidRDefault="00FE7386" w:rsidP="00FE7386">
      <w:pPr>
        <w:rPr>
          <w:rFonts w:ascii="Tw Cen MT" w:hAnsi="Tw Cen MT"/>
        </w:rPr>
      </w:pPr>
    </w:p>
    <w:p w:rsidR="00FE7386" w:rsidRPr="00FE7386" w:rsidRDefault="00FE7386" w:rsidP="00FE7386">
      <w:pPr>
        <w:rPr>
          <w:rFonts w:ascii="Tw Cen MT" w:hAnsi="Tw Cen MT"/>
        </w:rPr>
      </w:pPr>
    </w:p>
    <w:p w:rsidR="00FE7386" w:rsidRPr="00FE7386" w:rsidRDefault="00FE7386" w:rsidP="00FE7386">
      <w:pPr>
        <w:rPr>
          <w:rFonts w:ascii="Tw Cen MT" w:hAnsi="Tw Cen MT"/>
        </w:rPr>
      </w:pPr>
    </w:p>
    <w:p w:rsidR="00FE7386" w:rsidRPr="00FE7386" w:rsidRDefault="00FE7386" w:rsidP="00FE7386">
      <w:pPr>
        <w:rPr>
          <w:rFonts w:ascii="Tw Cen MT" w:hAnsi="Tw Cen MT"/>
        </w:rPr>
      </w:pPr>
    </w:p>
    <w:p w:rsidR="00FE7386" w:rsidRPr="00FE7386" w:rsidRDefault="00EF524F" w:rsidP="00FE7386">
      <w:pPr>
        <w:rPr>
          <w:rFonts w:ascii="Tw Cen MT" w:hAnsi="Tw Cen MT"/>
        </w:rPr>
      </w:pPr>
      <w:r>
        <w:rPr>
          <w:rFonts w:ascii="Tw Cen MT" w:hAnsi="Tw Cen MT"/>
          <w:noProof/>
        </w:rPr>
        <mc:AlternateContent>
          <mc:Choice Requires="wps">
            <w:drawing>
              <wp:anchor distT="0" distB="0" distL="114300" distR="114300" simplePos="0" relativeHeight="251653120" behindDoc="0" locked="0" layoutInCell="1" allowOverlap="1">
                <wp:simplePos x="0" y="0"/>
                <wp:positionH relativeFrom="column">
                  <wp:posOffset>3371850</wp:posOffset>
                </wp:positionH>
                <wp:positionV relativeFrom="paragraph">
                  <wp:posOffset>161925</wp:posOffset>
                </wp:positionV>
                <wp:extent cx="3076575" cy="361950"/>
                <wp:effectExtent l="0" t="0" r="9525" b="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994" w:rsidRPr="00D63994" w:rsidRDefault="00D63994" w:rsidP="00D63994">
                            <w:pPr>
                              <w:jc w:val="center"/>
                              <w:rPr>
                                <w:b/>
                                <w:bCs/>
                                <w:color w:val="4F81BD" w:themeColor="accent1"/>
                              </w:rPr>
                            </w:pPr>
                            <w:r w:rsidRPr="00D63994">
                              <w:rPr>
                                <w:b/>
                                <w:bCs/>
                                <w:color w:val="4F81BD" w:themeColor="accent1"/>
                              </w:rPr>
                              <w:t>GSE DIPS FURTHER IN NEGATIVE ZONE</w:t>
                            </w:r>
                          </w:p>
                          <w:p w:rsidR="009F755A" w:rsidRPr="003276EA" w:rsidRDefault="009F755A" w:rsidP="00E00F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265.5pt;margin-top:12.75pt;width:242.25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" stroked="f">
                <v:textbox>
                  <w:txbxContent>
                    <w:p w:rsidR="00D63994" w:rsidRPr="00D63994" w:rsidRDefault="00D63994" w:rsidP="00D63994">
                      <w:pPr>
                        <w:jc w:val="center"/>
                        <w:rPr>
                          <w:b/>
                          <w:bCs/>
                          <w:color w:val="4F81BD" w:themeColor="accent1"/>
                        </w:rPr>
                      </w:pPr>
                      <w:r w:rsidRPr="00D63994">
                        <w:rPr>
                          <w:b/>
                          <w:bCs/>
                          <w:color w:val="4F81BD" w:themeColor="accent1"/>
                        </w:rPr>
                        <w:t>GSE DIPS FURTHER IN NEGATIVE ZONE</w:t>
                      </w:r>
                    </w:p>
                    <w:p w:rsidR="009F755A" w:rsidRPr="003276EA" w:rsidRDefault="009F755A" w:rsidP="00E00F38">
                      <w:pPr>
                        <w:jc w:val="center"/>
                      </w:pPr>
                    </w:p>
                  </w:txbxContent>
                </v:textbox>
              </v:shape>
            </w:pict>
          </mc:Fallback>
        </mc:AlternateContent>
      </w:r>
      <w:r>
        <w:rPr>
          <w:rFonts w:ascii="Tw Cen MT" w:hAnsi="Tw Cen MT"/>
          <w:noProof/>
        </w:rPr>
        <mc:AlternateContent>
          <mc:Choice Requires="wps">
            <w:drawing>
              <wp:anchor distT="0" distB="0" distL="114300" distR="114300" simplePos="0" relativeHeight="251651072" behindDoc="0" locked="0" layoutInCell="1" allowOverlap="1">
                <wp:simplePos x="0" y="0"/>
                <wp:positionH relativeFrom="column">
                  <wp:posOffset>-616585</wp:posOffset>
                </wp:positionH>
                <wp:positionV relativeFrom="paragraph">
                  <wp:posOffset>234315</wp:posOffset>
                </wp:positionV>
                <wp:extent cx="2317750" cy="361950"/>
                <wp:effectExtent l="0" t="0" r="6350" b="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36195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55A" w:rsidRPr="00EF0404" w:rsidRDefault="009F755A" w:rsidP="00011D86">
                            <w:pPr>
                              <w:spacing w:before="40" w:after="40"/>
                              <w:rPr>
                                <w:rFonts w:ascii="Verdana" w:hAnsi="Verdana"/>
                                <w:b/>
                                <w:color w:val="FFFFFF" w:themeColor="background1"/>
                              </w:rPr>
                            </w:pPr>
                            <w:r w:rsidRPr="00EF0404">
                              <w:rPr>
                                <w:rFonts w:ascii="Verdana" w:hAnsi="Verdana"/>
                                <w:b/>
                                <w:color w:val="FFFFFF" w:themeColor="background1"/>
                              </w:rPr>
                              <w:t>STOCK 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48.55pt;margin-top:18.45pt;width:182.5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" fillcolor="#365f91 [2404]" stroked="f">
                <v:textbox>
                  <w:txbxContent>
                    <w:p w:rsidR="001254A2" w:rsidRPr="00EF0404" w:rsidRDefault="001254A2" w:rsidP="00011D86">
                      <w:pPr>
                        <w:spacing w:before="40" w:after="40"/>
                        <w:rPr>
                          <w:rFonts w:ascii="Verdana" w:hAnsi="Verdana"/>
                          <w:b/>
                          <w:color w:val="FFFFFF" w:themeColor="background1"/>
                        </w:rPr>
                      </w:pPr>
                      <w:r w:rsidRPr="00EF0404">
                        <w:rPr>
                          <w:rFonts w:ascii="Verdana" w:hAnsi="Verdana"/>
                          <w:b/>
                          <w:color w:val="FFFFFF" w:themeColor="background1"/>
                        </w:rPr>
                        <w:t>STOCK MARKET</w:t>
                      </w:r>
                    </w:p>
                  </w:txbxContent>
                </v:textbox>
              </v:shape>
            </w:pict>
          </mc:Fallback>
        </mc:AlternateContent>
      </w:r>
    </w:p>
    <w:p w:rsidR="00FE7386" w:rsidRPr="00FE7386" w:rsidRDefault="00FE7386" w:rsidP="00FE7386">
      <w:pPr>
        <w:rPr>
          <w:rFonts w:ascii="Tw Cen MT" w:hAnsi="Tw Cen MT"/>
        </w:rPr>
      </w:pPr>
    </w:p>
    <w:p w:rsidR="00FE7386" w:rsidRPr="00FE7386" w:rsidRDefault="001D2409" w:rsidP="00FE7386">
      <w:pPr>
        <w:rPr>
          <w:rFonts w:ascii="Tw Cen MT" w:hAnsi="Tw Cen MT"/>
        </w:rPr>
      </w:pPr>
      <w:r>
        <w:rPr>
          <w:rFonts w:ascii="Tw Cen MT" w:hAnsi="Tw Cen MT"/>
          <w:noProof/>
        </w:rPr>
        <mc:AlternateContent>
          <mc:Choice Requires="wps">
            <w:drawing>
              <wp:anchor distT="0" distB="0" distL="114300" distR="114300" simplePos="0" relativeHeight="251665408" behindDoc="0" locked="0" layoutInCell="1" allowOverlap="1" wp14:anchorId="06F1CB73" wp14:editId="0516AC4F">
                <wp:simplePos x="0" y="0"/>
                <wp:positionH relativeFrom="column">
                  <wp:posOffset>3238500</wp:posOffset>
                </wp:positionH>
                <wp:positionV relativeFrom="paragraph">
                  <wp:posOffset>-3810</wp:posOffset>
                </wp:positionV>
                <wp:extent cx="3409950" cy="3981450"/>
                <wp:effectExtent l="0" t="0" r="0"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98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994" w:rsidRPr="00D63994" w:rsidRDefault="00D63994" w:rsidP="00D63994">
                            <w:pPr>
                              <w:jc w:val="both"/>
                              <w:rPr>
                                <w:rFonts w:ascii="Tw Cen MT" w:eastAsia="Times New Roman" w:hAnsi="Tw Cen MT" w:cs="Arial"/>
                                <w:bCs/>
                                <w:color w:val="000000"/>
                                <w:sz w:val="20"/>
                                <w:szCs w:val="20"/>
                              </w:rPr>
                            </w:pPr>
                            <w:r w:rsidRPr="00D63994">
                              <w:rPr>
                                <w:rFonts w:ascii="Tw Cen MT" w:eastAsia="Times New Roman" w:hAnsi="Tw Cen MT" w:cs="Arial"/>
                                <w:bCs/>
                                <w:color w:val="000000"/>
                                <w:sz w:val="20"/>
                                <w:szCs w:val="20"/>
                                <w:lang w:val="en-GB"/>
                              </w:rPr>
                              <w:t>Activities on the Ghana Stock Exchange dipped further into negative zone last week, as laggards overpowered gainers in numbers and magnitude. Poor share performances of GCB Bank Limited (GCB), Benso Oil Palm Plantation Limited (BOPP), HFC Bank (Ghana) Limited and Ghana Oil Company Limited (GOIL)</w:t>
                            </w:r>
                            <w:r w:rsidRPr="00D63994">
                              <w:rPr>
                                <w:rFonts w:ascii="Tw Cen MT" w:eastAsia="Times New Roman" w:hAnsi="Tw Cen MT" w:cs="Arial"/>
                                <w:bCs/>
                                <w:color w:val="000000"/>
                                <w:sz w:val="20"/>
                                <w:szCs w:val="20"/>
                              </w:rPr>
                              <w:t xml:space="preserve"> were enough to drag the broader market down by 1.11%.</w:t>
                            </w:r>
                          </w:p>
                          <w:p w:rsidR="00D63994" w:rsidRPr="00D63994" w:rsidRDefault="00D63994" w:rsidP="00D63994">
                            <w:pPr>
                              <w:jc w:val="both"/>
                              <w:rPr>
                                <w:rFonts w:ascii="Tw Cen MT" w:eastAsia="Times New Roman" w:hAnsi="Tw Cen MT" w:cs="Arial"/>
                                <w:bCs/>
                                <w:color w:val="000000"/>
                                <w:sz w:val="20"/>
                                <w:szCs w:val="20"/>
                              </w:rPr>
                            </w:pPr>
                            <w:r w:rsidRPr="00D63994">
                              <w:rPr>
                                <w:rFonts w:ascii="Tw Cen MT" w:eastAsia="Times New Roman" w:hAnsi="Tw Cen MT" w:cs="Arial"/>
                                <w:bCs/>
                                <w:color w:val="000000"/>
                                <w:sz w:val="20"/>
                                <w:szCs w:val="20"/>
                              </w:rPr>
                              <w:t xml:space="preserve">At the close of the week’s activities, all the three key market indices closed lower than they opened. The yield on the GSE Composite Index (GSE-CI), the GSE Financial Stocks Index (GSE FSI) and the SIC-FSL Top 15 Index (T-15 Index) which measures the performance of the top 15 most liquid equities on the GSE ended the week at 102, 114 and 57 basis points lower in their respective levels. </w:t>
                            </w:r>
                          </w:p>
                          <w:p w:rsidR="00D63994" w:rsidRPr="00D63994" w:rsidRDefault="00D63994" w:rsidP="00D63994">
                            <w:pPr>
                              <w:jc w:val="both"/>
                              <w:rPr>
                                <w:rFonts w:ascii="Tw Cen MT" w:eastAsia="Times New Roman" w:hAnsi="Tw Cen MT" w:cs="Arial"/>
                                <w:bCs/>
                                <w:color w:val="000000"/>
                                <w:sz w:val="20"/>
                                <w:szCs w:val="20"/>
                              </w:rPr>
                            </w:pPr>
                            <w:r w:rsidRPr="00D63994">
                              <w:rPr>
                                <w:rFonts w:ascii="Tw Cen MT" w:eastAsia="Times New Roman" w:hAnsi="Tw Cen MT" w:cs="Arial"/>
                                <w:bCs/>
                                <w:color w:val="000000"/>
                                <w:sz w:val="20"/>
                                <w:szCs w:val="20"/>
                              </w:rPr>
                              <w:t>In the end, the year-to-date losses on the GSE-CI, GSE-FSI and the T-15 Index hit 9.82%, 11.22% and 3.58 from the previous week’s 8.80%, 10.08% and 3.01% respectively.</w:t>
                            </w:r>
                          </w:p>
                          <w:p w:rsidR="00D63994" w:rsidRPr="00D63994" w:rsidRDefault="00D63994" w:rsidP="00D63994">
                            <w:pPr>
                              <w:jc w:val="both"/>
                              <w:rPr>
                                <w:rFonts w:ascii="Tw Cen MT" w:eastAsia="Times New Roman" w:hAnsi="Tw Cen MT" w:cs="Arial"/>
                                <w:bCs/>
                                <w:color w:val="000000"/>
                                <w:sz w:val="20"/>
                                <w:szCs w:val="20"/>
                              </w:rPr>
                            </w:pPr>
                            <w:r w:rsidRPr="00D63994">
                              <w:rPr>
                                <w:rFonts w:ascii="Tw Cen MT" w:eastAsia="Times New Roman" w:hAnsi="Tw Cen MT" w:cs="Arial"/>
                                <w:bCs/>
                                <w:color w:val="000000"/>
                                <w:sz w:val="20"/>
                                <w:szCs w:val="20"/>
                                <w:lang w:val="en-GB"/>
                              </w:rPr>
                              <w:t xml:space="preserve">Total market capitalization of the market </w:t>
                            </w:r>
                            <w:r w:rsidRPr="00D63994">
                              <w:rPr>
                                <w:rFonts w:ascii="Tw Cen MT" w:eastAsia="Times New Roman" w:hAnsi="Tw Cen MT" w:cs="Arial"/>
                                <w:bCs/>
                                <w:color w:val="000000"/>
                                <w:sz w:val="20"/>
                                <w:szCs w:val="20"/>
                              </w:rPr>
                              <w:t xml:space="preserve">dropped to GH¢62.34 billion, from a week opening value of GH¢62.46 billion. However, corresponding value in Dollars increased to USD 16.36 billion from USD 16.19 billion due to an appreciation in the local currency.  </w:t>
                            </w:r>
                          </w:p>
                          <w:p w:rsidR="009F755A" w:rsidRPr="00185264" w:rsidRDefault="009F755A" w:rsidP="00185264">
                            <w:pPr>
                              <w:jc w:val="both"/>
                              <w:rPr>
                                <w:rFonts w:ascii="Tw Cen MT" w:eastAsia="Times New Roman" w:hAnsi="Tw Cen MT" w:cs="Arial"/>
                                <w:bCs/>
                                <w:color w:val="000000"/>
                                <w:sz w:val="20"/>
                                <w:szCs w:val="20"/>
                              </w:rPr>
                            </w:pPr>
                          </w:p>
                          <w:p w:rsidR="009F755A" w:rsidRPr="00566DFE" w:rsidRDefault="009F755A" w:rsidP="00566DFE">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55pt;margin-top:-.3pt;width:268.5pt;height:3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" stroked="f">
                <v:textbox>
                  <w:txbxContent>
                    <w:p w:rsidR="00D63994" w:rsidRPr="00D63994" w:rsidRDefault="00D63994" w:rsidP="00D63994">
                      <w:pPr>
                        <w:jc w:val="both"/>
                        <w:rPr>
                          <w:rFonts w:ascii="Tw Cen MT" w:eastAsia="Times New Roman" w:hAnsi="Tw Cen MT" w:cs="Arial"/>
                          <w:bCs/>
                          <w:color w:val="000000"/>
                          <w:sz w:val="20"/>
                          <w:szCs w:val="20"/>
                        </w:rPr>
                      </w:pPr>
                      <w:r w:rsidRPr="00D63994">
                        <w:rPr>
                          <w:rFonts w:ascii="Tw Cen MT" w:eastAsia="Times New Roman" w:hAnsi="Tw Cen MT" w:cs="Arial"/>
                          <w:bCs/>
                          <w:color w:val="000000"/>
                          <w:sz w:val="20"/>
                          <w:szCs w:val="20"/>
                          <w:lang w:val="en-GB"/>
                        </w:rPr>
                        <w:t xml:space="preserve">Activities on the Ghana Stock Exchange dipped further into negative zone last week, as laggards overpowered gainers in numbers and magnitude. Poor share performances of GCB Bank Limited (GCB), </w:t>
                      </w:r>
                      <w:proofErr w:type="spellStart"/>
                      <w:r w:rsidRPr="00D63994">
                        <w:rPr>
                          <w:rFonts w:ascii="Tw Cen MT" w:eastAsia="Times New Roman" w:hAnsi="Tw Cen MT" w:cs="Arial"/>
                          <w:bCs/>
                          <w:color w:val="000000"/>
                          <w:sz w:val="20"/>
                          <w:szCs w:val="20"/>
                          <w:lang w:val="en-GB"/>
                        </w:rPr>
                        <w:t>Benso</w:t>
                      </w:r>
                      <w:proofErr w:type="spellEnd"/>
                      <w:r w:rsidRPr="00D63994">
                        <w:rPr>
                          <w:rFonts w:ascii="Tw Cen MT" w:eastAsia="Times New Roman" w:hAnsi="Tw Cen MT" w:cs="Arial"/>
                          <w:bCs/>
                          <w:color w:val="000000"/>
                          <w:sz w:val="20"/>
                          <w:szCs w:val="20"/>
                          <w:lang w:val="en-GB"/>
                        </w:rPr>
                        <w:t xml:space="preserve"> Oil Palm Plantation Limited (BOPP), HFC Bank (Ghana) Limited and Ghana Oil Company Limited (GOIL)</w:t>
                      </w:r>
                      <w:r w:rsidRPr="00D63994">
                        <w:rPr>
                          <w:rFonts w:ascii="Tw Cen MT" w:eastAsia="Times New Roman" w:hAnsi="Tw Cen MT" w:cs="Arial"/>
                          <w:bCs/>
                          <w:color w:val="000000"/>
                          <w:sz w:val="20"/>
                          <w:szCs w:val="20"/>
                        </w:rPr>
                        <w:t xml:space="preserve"> were enough to drag the broader market down by 1.11%.</w:t>
                      </w:r>
                    </w:p>
                    <w:p w:rsidR="00D63994" w:rsidRPr="00D63994" w:rsidRDefault="00D63994" w:rsidP="00D63994">
                      <w:pPr>
                        <w:jc w:val="both"/>
                        <w:rPr>
                          <w:rFonts w:ascii="Tw Cen MT" w:eastAsia="Times New Roman" w:hAnsi="Tw Cen MT" w:cs="Arial"/>
                          <w:bCs/>
                          <w:color w:val="000000"/>
                          <w:sz w:val="20"/>
                          <w:szCs w:val="20"/>
                        </w:rPr>
                      </w:pPr>
                      <w:r w:rsidRPr="00D63994">
                        <w:rPr>
                          <w:rFonts w:ascii="Tw Cen MT" w:eastAsia="Times New Roman" w:hAnsi="Tw Cen MT" w:cs="Arial"/>
                          <w:bCs/>
                          <w:color w:val="000000"/>
                          <w:sz w:val="20"/>
                          <w:szCs w:val="20"/>
                        </w:rPr>
                        <w:t xml:space="preserve">At the close of the week’s activities, all the three key market indices closed lower than they opened. The yield on the GSE Composite Index (GSE-CI), the GSE Financial Stocks Index (GSE FSI) and the SIC-FSL Top 15 Index (T-15 Index) which measures the performance of the top 15 most liquid equities on the GSE ended the week at 102, 114 and 57 basis points lower in their respective levels. </w:t>
                      </w:r>
                    </w:p>
                    <w:p w:rsidR="00D63994" w:rsidRPr="00D63994" w:rsidRDefault="00D63994" w:rsidP="00D63994">
                      <w:pPr>
                        <w:jc w:val="both"/>
                        <w:rPr>
                          <w:rFonts w:ascii="Tw Cen MT" w:eastAsia="Times New Roman" w:hAnsi="Tw Cen MT" w:cs="Arial"/>
                          <w:bCs/>
                          <w:color w:val="000000"/>
                          <w:sz w:val="20"/>
                          <w:szCs w:val="20"/>
                        </w:rPr>
                      </w:pPr>
                      <w:r w:rsidRPr="00D63994">
                        <w:rPr>
                          <w:rFonts w:ascii="Tw Cen MT" w:eastAsia="Times New Roman" w:hAnsi="Tw Cen MT" w:cs="Arial"/>
                          <w:bCs/>
                          <w:color w:val="000000"/>
                          <w:sz w:val="20"/>
                          <w:szCs w:val="20"/>
                        </w:rPr>
                        <w:t>In the end, the year-to-date losses on the GSE-CI, GSE-FSI and the T-15 Index hit 9.82%, 11.22% and 3.58 from the previous week’s 8.80%, 10.08% and 3.01% respectively.</w:t>
                      </w:r>
                    </w:p>
                    <w:p w:rsidR="00D63994" w:rsidRPr="00D63994" w:rsidRDefault="00D63994" w:rsidP="00D63994">
                      <w:pPr>
                        <w:jc w:val="both"/>
                        <w:rPr>
                          <w:rFonts w:ascii="Tw Cen MT" w:eastAsia="Times New Roman" w:hAnsi="Tw Cen MT" w:cs="Arial"/>
                          <w:bCs/>
                          <w:color w:val="000000"/>
                          <w:sz w:val="20"/>
                          <w:szCs w:val="20"/>
                        </w:rPr>
                      </w:pPr>
                      <w:r w:rsidRPr="00D63994">
                        <w:rPr>
                          <w:rFonts w:ascii="Tw Cen MT" w:eastAsia="Times New Roman" w:hAnsi="Tw Cen MT" w:cs="Arial"/>
                          <w:bCs/>
                          <w:color w:val="000000"/>
                          <w:sz w:val="20"/>
                          <w:szCs w:val="20"/>
                          <w:lang w:val="en-GB"/>
                        </w:rPr>
                        <w:t xml:space="preserve">Total market capitalization of the market </w:t>
                      </w:r>
                      <w:r w:rsidRPr="00D63994">
                        <w:rPr>
                          <w:rFonts w:ascii="Tw Cen MT" w:eastAsia="Times New Roman" w:hAnsi="Tw Cen MT" w:cs="Arial"/>
                          <w:bCs/>
                          <w:color w:val="000000"/>
                          <w:sz w:val="20"/>
                          <w:szCs w:val="20"/>
                        </w:rPr>
                        <w:t xml:space="preserve">dropped to GH¢62.34 billion, from a week opening value of GH¢62.46 billion. However, corresponding value in Dollars increased to USD 16.36 billion from USD 16.19 billion due to an appreciation in the local currency.  </w:t>
                      </w:r>
                    </w:p>
                    <w:p w:rsidR="009F755A" w:rsidRPr="00185264" w:rsidRDefault="009F755A" w:rsidP="00185264">
                      <w:pPr>
                        <w:jc w:val="both"/>
                        <w:rPr>
                          <w:rFonts w:ascii="Tw Cen MT" w:eastAsia="Times New Roman" w:hAnsi="Tw Cen MT" w:cs="Arial"/>
                          <w:bCs/>
                          <w:color w:val="000000"/>
                          <w:sz w:val="20"/>
                          <w:szCs w:val="20"/>
                        </w:rPr>
                      </w:pPr>
                    </w:p>
                    <w:p w:rsidR="009F755A" w:rsidRPr="00566DFE" w:rsidRDefault="009F755A" w:rsidP="00566DFE">
                      <w:pPr>
                        <w:rPr>
                          <w:szCs w:val="20"/>
                        </w:rPr>
                      </w:pPr>
                    </w:p>
                  </w:txbxContent>
                </v:textbox>
              </v:shape>
            </w:pict>
          </mc:Fallback>
        </mc:AlternateContent>
      </w:r>
      <w:r w:rsidR="00BE0ECA">
        <w:rPr>
          <w:rFonts w:ascii="Tw Cen MT" w:hAnsi="Tw Cen MT"/>
          <w:noProof/>
        </w:rPr>
        <mc:AlternateContent>
          <mc:Choice Requires="wps">
            <w:drawing>
              <wp:anchor distT="0" distB="0" distL="114300" distR="114300" simplePos="0" relativeHeight="251652096" behindDoc="0" locked="0" layoutInCell="1" allowOverlap="1" wp14:anchorId="035A1482" wp14:editId="31D1697D">
                <wp:simplePos x="0" y="0"/>
                <wp:positionH relativeFrom="column">
                  <wp:posOffset>-666750</wp:posOffset>
                </wp:positionH>
                <wp:positionV relativeFrom="paragraph">
                  <wp:posOffset>53340</wp:posOffset>
                </wp:positionV>
                <wp:extent cx="3714750" cy="1743075"/>
                <wp:effectExtent l="0" t="0" r="0" b="952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LightShading-Accent4"/>
                              <w:tblW w:w="5623" w:type="dxa"/>
                              <w:tblLook w:val="04A0" w:firstRow="1" w:lastRow="0" w:firstColumn="1" w:lastColumn="0" w:noHBand="0" w:noVBand="1"/>
                            </w:tblPr>
                            <w:tblGrid>
                              <w:gridCol w:w="2372"/>
                              <w:gridCol w:w="1151"/>
                              <w:gridCol w:w="1240"/>
                              <w:gridCol w:w="979"/>
                            </w:tblGrid>
                            <w:tr w:rsidR="009F755A" w:rsidRPr="00E872E5" w:rsidTr="00875242">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72" w:type="dxa"/>
                                  <w:noWrap/>
                                  <w:hideMark/>
                                </w:tcPr>
                                <w:p w:rsidR="009F755A" w:rsidRPr="003C00A8" w:rsidRDefault="009F755A" w:rsidP="00011D86">
                                  <w:pPr>
                                    <w:spacing w:before="40" w:after="40"/>
                                    <w:rPr>
                                      <w:rFonts w:ascii="Arial" w:eastAsia="Times New Roman" w:hAnsi="Arial" w:cs="Arial"/>
                                      <w:sz w:val="16"/>
                                      <w:szCs w:val="16"/>
                                    </w:rPr>
                                  </w:pPr>
                                  <w:r w:rsidRPr="003C00A8">
                                    <w:rPr>
                                      <w:rFonts w:ascii="Arial" w:eastAsia="Times New Roman" w:hAnsi="Arial" w:cs="Arial"/>
                                      <w:sz w:val="16"/>
                                      <w:szCs w:val="16"/>
                                    </w:rPr>
                                    <w:t>INDICATORS</w:t>
                                  </w:r>
                                </w:p>
                              </w:tc>
                              <w:tc>
                                <w:tcPr>
                                  <w:tcW w:w="1136" w:type="dxa"/>
                                  <w:noWrap/>
                                  <w:hideMark/>
                                </w:tcPr>
                                <w:p w:rsidR="009F755A" w:rsidRPr="003C00A8" w:rsidRDefault="009F755A" w:rsidP="00011D8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C00A8">
                                    <w:rPr>
                                      <w:rFonts w:ascii="Arial" w:eastAsia="Times New Roman" w:hAnsi="Arial" w:cs="Arial"/>
                                      <w:sz w:val="16"/>
                                      <w:szCs w:val="16"/>
                                    </w:rPr>
                                    <w:t>WEEK OPEN</w:t>
                                  </w:r>
                                </w:p>
                              </w:tc>
                              <w:tc>
                                <w:tcPr>
                                  <w:tcW w:w="1136" w:type="dxa"/>
                                  <w:noWrap/>
                                  <w:hideMark/>
                                </w:tcPr>
                                <w:p w:rsidR="009F755A" w:rsidRPr="003C00A8" w:rsidRDefault="009F755A" w:rsidP="00011D8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C00A8">
                                    <w:rPr>
                                      <w:rFonts w:ascii="Arial" w:eastAsia="Times New Roman" w:hAnsi="Arial" w:cs="Arial"/>
                                      <w:sz w:val="16"/>
                                      <w:szCs w:val="16"/>
                                    </w:rPr>
                                    <w:t>WEEK END</w:t>
                                  </w:r>
                                </w:p>
                              </w:tc>
                              <w:tc>
                                <w:tcPr>
                                  <w:tcW w:w="979" w:type="dxa"/>
                                  <w:noWrap/>
                                  <w:hideMark/>
                                </w:tcPr>
                                <w:p w:rsidR="009F755A" w:rsidRPr="003C00A8" w:rsidRDefault="009F755A" w:rsidP="00011D8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C00A8">
                                    <w:rPr>
                                      <w:rFonts w:ascii="Arial" w:eastAsia="Times New Roman" w:hAnsi="Arial" w:cs="Arial"/>
                                      <w:sz w:val="16"/>
                                      <w:szCs w:val="16"/>
                                    </w:rPr>
                                    <w:t xml:space="preserve">CHANGE </w:t>
                                  </w:r>
                                </w:p>
                              </w:tc>
                            </w:tr>
                            <w:tr w:rsidR="009F755A" w:rsidRPr="00E872E5" w:rsidTr="0087524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72" w:type="dxa"/>
                                  <w:noWrap/>
                                  <w:vAlign w:val="bottom"/>
                                  <w:hideMark/>
                                </w:tcPr>
                                <w:p w:rsidR="009F755A" w:rsidRPr="00A6524D" w:rsidRDefault="009F755A" w:rsidP="000B5D3F">
                                  <w:pPr>
                                    <w:rPr>
                                      <w:rFonts w:ascii="Arial" w:hAnsi="Arial" w:cs="Arial"/>
                                      <w:b w:val="0"/>
                                      <w:sz w:val="16"/>
                                      <w:szCs w:val="16"/>
                                    </w:rPr>
                                  </w:pPr>
                                  <w:r w:rsidRPr="00A6524D">
                                    <w:rPr>
                                      <w:rFonts w:ascii="Arial" w:hAnsi="Arial" w:cs="Arial"/>
                                      <w:b w:val="0"/>
                                      <w:sz w:val="16"/>
                                      <w:szCs w:val="16"/>
                                    </w:rPr>
                                    <w:t>Market Capitalization (</w:t>
                                  </w:r>
                                  <w:proofErr w:type="spellStart"/>
                                  <w:r w:rsidRPr="00A6524D">
                                    <w:rPr>
                                      <w:rFonts w:ascii="Arial" w:hAnsi="Arial" w:cs="Arial"/>
                                      <w:b w:val="0"/>
                                      <w:sz w:val="16"/>
                                      <w:szCs w:val="16"/>
                                    </w:rPr>
                                    <w:t>GH¢'million</w:t>
                                  </w:r>
                                  <w:proofErr w:type="spellEnd"/>
                                  <w:r w:rsidRPr="00A6524D">
                                    <w:rPr>
                                      <w:rFonts w:ascii="Arial" w:hAnsi="Arial" w:cs="Arial"/>
                                      <w:b w:val="0"/>
                                      <w:sz w:val="16"/>
                                      <w:szCs w:val="16"/>
                                    </w:rPr>
                                    <w:t>)</w:t>
                                  </w:r>
                                </w:p>
                              </w:tc>
                              <w:tc>
                                <w:tcPr>
                                  <w:tcW w:w="1136"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F755A">
                                    <w:rPr>
                                      <w:rFonts w:ascii="Arial" w:hAnsi="Arial" w:cs="Arial"/>
                                      <w:sz w:val="16"/>
                                      <w:szCs w:val="16"/>
                                    </w:rPr>
                                    <w:t>62,463.82</w:t>
                                  </w:r>
                                </w:p>
                              </w:tc>
                              <w:tc>
                                <w:tcPr>
                                  <w:tcW w:w="1136"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F755A">
                                    <w:rPr>
                                      <w:rFonts w:ascii="Arial" w:hAnsi="Arial" w:cs="Arial"/>
                                      <w:sz w:val="16"/>
                                      <w:szCs w:val="16"/>
                                    </w:rPr>
                                    <w:t>62,339.27</w:t>
                                  </w:r>
                                </w:p>
                              </w:tc>
                              <w:tc>
                                <w:tcPr>
                                  <w:tcW w:w="979"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color w:val="FF0000"/>
                                      <w:sz w:val="16"/>
                                      <w:szCs w:val="16"/>
                                    </w:rPr>
                                    <w:t>-0.20%</w:t>
                                  </w:r>
                                </w:p>
                              </w:tc>
                            </w:tr>
                            <w:tr w:rsidR="009F755A" w:rsidRPr="00E872E5" w:rsidTr="00875242">
                              <w:trPr>
                                <w:trHeight w:val="384"/>
                              </w:trPr>
                              <w:tc>
                                <w:tcPr>
                                  <w:cnfStyle w:val="001000000000" w:firstRow="0" w:lastRow="0" w:firstColumn="1" w:lastColumn="0" w:oddVBand="0" w:evenVBand="0" w:oddHBand="0" w:evenHBand="0" w:firstRowFirstColumn="0" w:firstRowLastColumn="0" w:lastRowFirstColumn="0" w:lastRowLastColumn="0"/>
                                  <w:tcW w:w="2372" w:type="dxa"/>
                                  <w:noWrap/>
                                  <w:vAlign w:val="bottom"/>
                                  <w:hideMark/>
                                </w:tcPr>
                                <w:p w:rsidR="009F755A" w:rsidRPr="00A6524D" w:rsidRDefault="009F755A" w:rsidP="000B5D3F">
                                  <w:pPr>
                                    <w:rPr>
                                      <w:rFonts w:ascii="Arial" w:hAnsi="Arial" w:cs="Arial"/>
                                      <w:b w:val="0"/>
                                      <w:sz w:val="16"/>
                                      <w:szCs w:val="16"/>
                                    </w:rPr>
                                  </w:pPr>
                                  <w:r w:rsidRPr="00A6524D">
                                    <w:rPr>
                                      <w:rFonts w:ascii="Arial" w:hAnsi="Arial" w:cs="Arial"/>
                                      <w:b w:val="0"/>
                                      <w:sz w:val="16"/>
                                      <w:szCs w:val="16"/>
                                    </w:rPr>
                                    <w:t>Market Capitalization (</w:t>
                                  </w:r>
                                  <w:proofErr w:type="spellStart"/>
                                  <w:r w:rsidRPr="00A6524D">
                                    <w:rPr>
                                      <w:rFonts w:ascii="Arial" w:hAnsi="Arial" w:cs="Arial"/>
                                      <w:b w:val="0"/>
                                      <w:sz w:val="16"/>
                                      <w:szCs w:val="16"/>
                                    </w:rPr>
                                    <w:t>US$'million</w:t>
                                  </w:r>
                                  <w:proofErr w:type="spellEnd"/>
                                  <w:r w:rsidRPr="00A6524D">
                                    <w:rPr>
                                      <w:rFonts w:ascii="Arial" w:hAnsi="Arial" w:cs="Arial"/>
                                      <w:b w:val="0"/>
                                      <w:sz w:val="16"/>
                                      <w:szCs w:val="16"/>
                                    </w:rPr>
                                    <w:t>)</w:t>
                                  </w:r>
                                </w:p>
                              </w:tc>
                              <w:tc>
                                <w:tcPr>
                                  <w:tcW w:w="1136" w:type="dxa"/>
                                  <w:noWrap/>
                                  <w:vAlign w:val="bottom"/>
                                </w:tcPr>
                                <w:p w:rsidR="009F755A" w:rsidRPr="009F755A" w:rsidRDefault="009F755A" w:rsidP="009F75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F755A">
                                    <w:rPr>
                                      <w:rFonts w:ascii="Arial" w:hAnsi="Arial" w:cs="Arial"/>
                                      <w:sz w:val="16"/>
                                      <w:szCs w:val="16"/>
                                    </w:rPr>
                                    <w:t>16,188.21</w:t>
                                  </w:r>
                                </w:p>
                              </w:tc>
                              <w:tc>
                                <w:tcPr>
                                  <w:tcW w:w="1136" w:type="dxa"/>
                                  <w:noWrap/>
                                  <w:vAlign w:val="bottom"/>
                                </w:tcPr>
                                <w:p w:rsidR="009F755A" w:rsidRPr="009F755A" w:rsidRDefault="009F755A" w:rsidP="009F75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F755A">
                                    <w:rPr>
                                      <w:rFonts w:ascii="Arial" w:hAnsi="Arial" w:cs="Arial"/>
                                      <w:sz w:val="16"/>
                                      <w:szCs w:val="16"/>
                                    </w:rPr>
                                    <w:t>16,358.58</w:t>
                                  </w:r>
                                </w:p>
                              </w:tc>
                              <w:tc>
                                <w:tcPr>
                                  <w:tcW w:w="979" w:type="dxa"/>
                                  <w:noWrap/>
                                  <w:vAlign w:val="bottom"/>
                                </w:tcPr>
                                <w:p w:rsidR="009F755A" w:rsidRPr="00405B5E" w:rsidRDefault="009F755A" w:rsidP="009F755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1.05%</w:t>
                                  </w:r>
                                </w:p>
                              </w:tc>
                            </w:tr>
                            <w:tr w:rsidR="009F755A" w:rsidRPr="00E872E5" w:rsidTr="0087524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72" w:type="dxa"/>
                                  <w:noWrap/>
                                  <w:vAlign w:val="bottom"/>
                                  <w:hideMark/>
                                </w:tcPr>
                                <w:p w:rsidR="009F755A" w:rsidRPr="00A6524D" w:rsidRDefault="009F755A" w:rsidP="000B5D3F">
                                  <w:pPr>
                                    <w:rPr>
                                      <w:rFonts w:ascii="Arial" w:hAnsi="Arial" w:cs="Arial"/>
                                      <w:b w:val="0"/>
                                      <w:sz w:val="16"/>
                                      <w:szCs w:val="16"/>
                                    </w:rPr>
                                  </w:pPr>
                                  <w:r w:rsidRPr="00A6524D">
                                    <w:rPr>
                                      <w:rFonts w:ascii="Arial" w:hAnsi="Arial" w:cs="Arial"/>
                                      <w:b w:val="0"/>
                                      <w:sz w:val="16"/>
                                      <w:szCs w:val="16"/>
                                    </w:rPr>
                                    <w:t>Volume traded (shares)</w:t>
                                  </w:r>
                                </w:p>
                              </w:tc>
                              <w:tc>
                                <w:tcPr>
                                  <w:tcW w:w="1136"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F755A">
                                    <w:rPr>
                                      <w:rFonts w:ascii="Arial" w:hAnsi="Arial" w:cs="Arial"/>
                                      <w:sz w:val="16"/>
                                      <w:szCs w:val="16"/>
                                    </w:rPr>
                                    <w:t>2,044,618.00</w:t>
                                  </w:r>
                                </w:p>
                              </w:tc>
                              <w:tc>
                                <w:tcPr>
                                  <w:tcW w:w="1136"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F755A">
                                    <w:rPr>
                                      <w:rFonts w:ascii="Arial" w:hAnsi="Arial" w:cs="Arial"/>
                                      <w:sz w:val="16"/>
                                      <w:szCs w:val="16"/>
                                    </w:rPr>
                                    <w:t>12,746,919.00</w:t>
                                  </w:r>
                                </w:p>
                              </w:tc>
                              <w:tc>
                                <w:tcPr>
                                  <w:tcW w:w="979" w:type="dxa"/>
                                  <w:noWrap/>
                                  <w:vAlign w:val="bottom"/>
                                </w:tcPr>
                                <w:p w:rsidR="009F755A" w:rsidRPr="00405B5E"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523.44%</w:t>
                                  </w:r>
                                </w:p>
                              </w:tc>
                            </w:tr>
                            <w:tr w:rsidR="009F755A" w:rsidRPr="00E872E5" w:rsidTr="00875242">
                              <w:trPr>
                                <w:trHeight w:val="384"/>
                              </w:trPr>
                              <w:tc>
                                <w:tcPr>
                                  <w:cnfStyle w:val="001000000000" w:firstRow="0" w:lastRow="0" w:firstColumn="1" w:lastColumn="0" w:oddVBand="0" w:evenVBand="0" w:oddHBand="0" w:evenHBand="0" w:firstRowFirstColumn="0" w:firstRowLastColumn="0" w:lastRowFirstColumn="0" w:lastRowLastColumn="0"/>
                                  <w:tcW w:w="2372" w:type="dxa"/>
                                  <w:noWrap/>
                                  <w:vAlign w:val="bottom"/>
                                </w:tcPr>
                                <w:p w:rsidR="009F755A" w:rsidRPr="00A6524D" w:rsidRDefault="009F755A" w:rsidP="000B5D3F">
                                  <w:pPr>
                                    <w:rPr>
                                      <w:rFonts w:ascii="Arial" w:hAnsi="Arial" w:cs="Arial"/>
                                      <w:b w:val="0"/>
                                      <w:sz w:val="16"/>
                                      <w:szCs w:val="16"/>
                                    </w:rPr>
                                  </w:pPr>
                                  <w:r w:rsidRPr="00A6524D">
                                    <w:rPr>
                                      <w:rFonts w:ascii="Arial" w:hAnsi="Arial" w:cs="Arial"/>
                                      <w:b w:val="0"/>
                                      <w:sz w:val="16"/>
                                      <w:szCs w:val="16"/>
                                    </w:rPr>
                                    <w:t>Value Traded (GH¢)</w:t>
                                  </w:r>
                                </w:p>
                              </w:tc>
                              <w:tc>
                                <w:tcPr>
                                  <w:tcW w:w="1136" w:type="dxa"/>
                                  <w:noWrap/>
                                  <w:vAlign w:val="bottom"/>
                                </w:tcPr>
                                <w:p w:rsidR="009F755A" w:rsidRPr="009F755A" w:rsidRDefault="009F755A" w:rsidP="009F75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F755A">
                                    <w:rPr>
                                      <w:rFonts w:ascii="Arial" w:hAnsi="Arial" w:cs="Arial"/>
                                      <w:sz w:val="16"/>
                                      <w:szCs w:val="16"/>
                                    </w:rPr>
                                    <w:t>4,130,232.12</w:t>
                                  </w:r>
                                </w:p>
                              </w:tc>
                              <w:tc>
                                <w:tcPr>
                                  <w:tcW w:w="1136" w:type="dxa"/>
                                  <w:noWrap/>
                                  <w:vAlign w:val="bottom"/>
                                </w:tcPr>
                                <w:p w:rsidR="009F755A" w:rsidRPr="009F755A" w:rsidRDefault="009F755A" w:rsidP="009F75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F755A">
                                    <w:rPr>
                                      <w:rFonts w:ascii="Arial" w:hAnsi="Arial" w:cs="Arial"/>
                                      <w:sz w:val="16"/>
                                      <w:szCs w:val="16"/>
                                    </w:rPr>
                                    <w:t>17,962,234.12</w:t>
                                  </w:r>
                                </w:p>
                              </w:tc>
                              <w:tc>
                                <w:tcPr>
                                  <w:tcW w:w="979" w:type="dxa"/>
                                  <w:noWrap/>
                                  <w:vAlign w:val="bottom"/>
                                </w:tcPr>
                                <w:p w:rsidR="009F755A" w:rsidRPr="00405B5E" w:rsidRDefault="009F755A" w:rsidP="009F755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334.90%</w:t>
                                  </w:r>
                                </w:p>
                              </w:tc>
                            </w:tr>
                            <w:tr w:rsidR="009F755A" w:rsidRPr="00E872E5" w:rsidTr="0087524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72" w:type="dxa"/>
                                  <w:noWrap/>
                                  <w:vAlign w:val="bottom"/>
                                </w:tcPr>
                                <w:p w:rsidR="009F755A" w:rsidRPr="00A6524D" w:rsidRDefault="009F755A" w:rsidP="000B5D3F">
                                  <w:pPr>
                                    <w:rPr>
                                      <w:rFonts w:ascii="Arial" w:hAnsi="Arial" w:cs="Arial"/>
                                      <w:b w:val="0"/>
                                      <w:sz w:val="16"/>
                                      <w:szCs w:val="16"/>
                                    </w:rPr>
                                  </w:pPr>
                                  <w:r w:rsidRPr="00A6524D">
                                    <w:rPr>
                                      <w:rFonts w:ascii="Arial" w:hAnsi="Arial" w:cs="Arial"/>
                                      <w:b w:val="0"/>
                                      <w:sz w:val="16"/>
                                      <w:szCs w:val="16"/>
                                    </w:rPr>
                                    <w:t>Value Traded (US$)</w:t>
                                  </w:r>
                                </w:p>
                              </w:tc>
                              <w:tc>
                                <w:tcPr>
                                  <w:tcW w:w="1136"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F755A">
                                    <w:rPr>
                                      <w:rFonts w:ascii="Arial" w:hAnsi="Arial" w:cs="Arial"/>
                                      <w:sz w:val="16"/>
                                      <w:szCs w:val="16"/>
                                    </w:rPr>
                                    <w:t>1,070,396.55</w:t>
                                  </w:r>
                                </w:p>
                              </w:tc>
                              <w:tc>
                                <w:tcPr>
                                  <w:tcW w:w="1136"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F755A">
                                    <w:rPr>
                                      <w:rFonts w:ascii="Arial" w:hAnsi="Arial" w:cs="Arial"/>
                                      <w:sz w:val="16"/>
                                      <w:szCs w:val="16"/>
                                    </w:rPr>
                                    <w:t>4,713,507.43</w:t>
                                  </w:r>
                                </w:p>
                              </w:tc>
                              <w:tc>
                                <w:tcPr>
                                  <w:tcW w:w="979" w:type="dxa"/>
                                  <w:noWrap/>
                                  <w:vAlign w:val="bottom"/>
                                </w:tcPr>
                                <w:p w:rsidR="009F755A" w:rsidRPr="00405B5E"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340.35%</w:t>
                                  </w:r>
                                </w:p>
                              </w:tc>
                            </w:tr>
                          </w:tbl>
                          <w:p w:rsidR="009F755A" w:rsidRPr="003A6BC3" w:rsidRDefault="009F755A" w:rsidP="00011D86">
                            <w:pPr>
                              <w:jc w:val="center"/>
                              <w:rPr>
                                <w:rFonts w:ascii="Times New Roman" w:hAnsi="Times New Roman" w:cs="Times New Roman"/>
                                <w:b/>
                                <w:color w:val="5F497A" w:themeColor="accent4" w:themeShade="BF"/>
                                <w:sz w:val="14"/>
                                <w:szCs w:val="16"/>
                              </w:rPr>
                            </w:pPr>
                            <w:r w:rsidRPr="003A6BC3">
                              <w:rPr>
                                <w:rFonts w:ascii="Times New Roman" w:hAnsi="Times New Roman" w:cs="Times New Roman"/>
                                <w:b/>
                                <w:color w:val="5F497A" w:themeColor="accent4" w:themeShade="BF"/>
                                <w:sz w:val="14"/>
                                <w:szCs w:val="16"/>
                              </w:rPr>
                              <w:t>Table 1: Market 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52.5pt;margin-top:4.2pt;width:292.5pt;height:13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" stroked="f">
                <v:textbox>
                  <w:txbxContent>
                    <w:tbl>
                      <w:tblPr>
                        <w:tblStyle w:val="LightShading-Accent4"/>
                        <w:tblW w:w="5623" w:type="dxa"/>
                        <w:tblLook w:val="04A0" w:firstRow="1" w:lastRow="0" w:firstColumn="1" w:lastColumn="0" w:noHBand="0" w:noVBand="1"/>
                      </w:tblPr>
                      <w:tblGrid>
                        <w:gridCol w:w="2372"/>
                        <w:gridCol w:w="1151"/>
                        <w:gridCol w:w="1240"/>
                        <w:gridCol w:w="979"/>
                      </w:tblGrid>
                      <w:tr w:rsidR="009F755A" w:rsidRPr="00E872E5" w:rsidTr="00875242">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72" w:type="dxa"/>
                            <w:noWrap/>
                            <w:hideMark/>
                          </w:tcPr>
                          <w:p w:rsidR="009F755A" w:rsidRPr="003C00A8" w:rsidRDefault="009F755A" w:rsidP="00011D86">
                            <w:pPr>
                              <w:spacing w:before="40" w:after="40"/>
                              <w:rPr>
                                <w:rFonts w:ascii="Arial" w:eastAsia="Times New Roman" w:hAnsi="Arial" w:cs="Arial"/>
                                <w:sz w:val="16"/>
                                <w:szCs w:val="16"/>
                              </w:rPr>
                            </w:pPr>
                            <w:r w:rsidRPr="003C00A8">
                              <w:rPr>
                                <w:rFonts w:ascii="Arial" w:eastAsia="Times New Roman" w:hAnsi="Arial" w:cs="Arial"/>
                                <w:sz w:val="16"/>
                                <w:szCs w:val="16"/>
                              </w:rPr>
                              <w:t>INDICATORS</w:t>
                            </w:r>
                          </w:p>
                        </w:tc>
                        <w:tc>
                          <w:tcPr>
                            <w:tcW w:w="1136" w:type="dxa"/>
                            <w:noWrap/>
                            <w:hideMark/>
                          </w:tcPr>
                          <w:p w:rsidR="009F755A" w:rsidRPr="003C00A8" w:rsidRDefault="009F755A" w:rsidP="00011D8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C00A8">
                              <w:rPr>
                                <w:rFonts w:ascii="Arial" w:eastAsia="Times New Roman" w:hAnsi="Arial" w:cs="Arial"/>
                                <w:sz w:val="16"/>
                                <w:szCs w:val="16"/>
                              </w:rPr>
                              <w:t>WEEK OPEN</w:t>
                            </w:r>
                          </w:p>
                        </w:tc>
                        <w:tc>
                          <w:tcPr>
                            <w:tcW w:w="1136" w:type="dxa"/>
                            <w:noWrap/>
                            <w:hideMark/>
                          </w:tcPr>
                          <w:p w:rsidR="009F755A" w:rsidRPr="003C00A8" w:rsidRDefault="009F755A" w:rsidP="00011D8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C00A8">
                              <w:rPr>
                                <w:rFonts w:ascii="Arial" w:eastAsia="Times New Roman" w:hAnsi="Arial" w:cs="Arial"/>
                                <w:sz w:val="16"/>
                                <w:szCs w:val="16"/>
                              </w:rPr>
                              <w:t>WEEK END</w:t>
                            </w:r>
                          </w:p>
                        </w:tc>
                        <w:tc>
                          <w:tcPr>
                            <w:tcW w:w="979" w:type="dxa"/>
                            <w:noWrap/>
                            <w:hideMark/>
                          </w:tcPr>
                          <w:p w:rsidR="009F755A" w:rsidRPr="003C00A8" w:rsidRDefault="009F755A" w:rsidP="00011D8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C00A8">
                              <w:rPr>
                                <w:rFonts w:ascii="Arial" w:eastAsia="Times New Roman" w:hAnsi="Arial" w:cs="Arial"/>
                                <w:sz w:val="16"/>
                                <w:szCs w:val="16"/>
                              </w:rPr>
                              <w:t xml:space="preserve">CHANGE </w:t>
                            </w:r>
                          </w:p>
                        </w:tc>
                      </w:tr>
                      <w:tr w:rsidR="009F755A" w:rsidRPr="00E872E5" w:rsidTr="0087524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72" w:type="dxa"/>
                            <w:noWrap/>
                            <w:vAlign w:val="bottom"/>
                            <w:hideMark/>
                          </w:tcPr>
                          <w:p w:rsidR="009F755A" w:rsidRPr="00A6524D" w:rsidRDefault="009F755A" w:rsidP="000B5D3F">
                            <w:pPr>
                              <w:rPr>
                                <w:rFonts w:ascii="Arial" w:hAnsi="Arial" w:cs="Arial"/>
                                <w:b w:val="0"/>
                                <w:sz w:val="16"/>
                                <w:szCs w:val="16"/>
                              </w:rPr>
                            </w:pPr>
                            <w:r w:rsidRPr="00A6524D">
                              <w:rPr>
                                <w:rFonts w:ascii="Arial" w:hAnsi="Arial" w:cs="Arial"/>
                                <w:b w:val="0"/>
                                <w:sz w:val="16"/>
                                <w:szCs w:val="16"/>
                              </w:rPr>
                              <w:t>Market Capitalization (</w:t>
                            </w:r>
                            <w:proofErr w:type="spellStart"/>
                            <w:r w:rsidRPr="00A6524D">
                              <w:rPr>
                                <w:rFonts w:ascii="Arial" w:hAnsi="Arial" w:cs="Arial"/>
                                <w:b w:val="0"/>
                                <w:sz w:val="16"/>
                                <w:szCs w:val="16"/>
                              </w:rPr>
                              <w:t>GH¢'million</w:t>
                            </w:r>
                            <w:proofErr w:type="spellEnd"/>
                            <w:r w:rsidRPr="00A6524D">
                              <w:rPr>
                                <w:rFonts w:ascii="Arial" w:hAnsi="Arial" w:cs="Arial"/>
                                <w:b w:val="0"/>
                                <w:sz w:val="16"/>
                                <w:szCs w:val="16"/>
                              </w:rPr>
                              <w:t>)</w:t>
                            </w:r>
                          </w:p>
                        </w:tc>
                        <w:tc>
                          <w:tcPr>
                            <w:tcW w:w="1136"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F755A">
                              <w:rPr>
                                <w:rFonts w:ascii="Arial" w:hAnsi="Arial" w:cs="Arial"/>
                                <w:sz w:val="16"/>
                                <w:szCs w:val="16"/>
                              </w:rPr>
                              <w:t>62,463.82</w:t>
                            </w:r>
                          </w:p>
                        </w:tc>
                        <w:tc>
                          <w:tcPr>
                            <w:tcW w:w="1136"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F755A">
                              <w:rPr>
                                <w:rFonts w:ascii="Arial" w:hAnsi="Arial" w:cs="Arial"/>
                                <w:sz w:val="16"/>
                                <w:szCs w:val="16"/>
                              </w:rPr>
                              <w:t>62,339.27</w:t>
                            </w:r>
                          </w:p>
                        </w:tc>
                        <w:tc>
                          <w:tcPr>
                            <w:tcW w:w="979"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color w:val="FF0000"/>
                                <w:sz w:val="16"/>
                                <w:szCs w:val="16"/>
                              </w:rPr>
                              <w:t>-0.20%</w:t>
                            </w:r>
                          </w:p>
                        </w:tc>
                      </w:tr>
                      <w:tr w:rsidR="009F755A" w:rsidRPr="00E872E5" w:rsidTr="00875242">
                        <w:trPr>
                          <w:trHeight w:val="384"/>
                        </w:trPr>
                        <w:tc>
                          <w:tcPr>
                            <w:cnfStyle w:val="001000000000" w:firstRow="0" w:lastRow="0" w:firstColumn="1" w:lastColumn="0" w:oddVBand="0" w:evenVBand="0" w:oddHBand="0" w:evenHBand="0" w:firstRowFirstColumn="0" w:firstRowLastColumn="0" w:lastRowFirstColumn="0" w:lastRowLastColumn="0"/>
                            <w:tcW w:w="2372" w:type="dxa"/>
                            <w:noWrap/>
                            <w:vAlign w:val="bottom"/>
                            <w:hideMark/>
                          </w:tcPr>
                          <w:p w:rsidR="009F755A" w:rsidRPr="00A6524D" w:rsidRDefault="009F755A" w:rsidP="000B5D3F">
                            <w:pPr>
                              <w:rPr>
                                <w:rFonts w:ascii="Arial" w:hAnsi="Arial" w:cs="Arial"/>
                                <w:b w:val="0"/>
                                <w:sz w:val="16"/>
                                <w:szCs w:val="16"/>
                              </w:rPr>
                            </w:pPr>
                            <w:r w:rsidRPr="00A6524D">
                              <w:rPr>
                                <w:rFonts w:ascii="Arial" w:hAnsi="Arial" w:cs="Arial"/>
                                <w:b w:val="0"/>
                                <w:sz w:val="16"/>
                                <w:szCs w:val="16"/>
                              </w:rPr>
                              <w:t>Market Capitalization (</w:t>
                            </w:r>
                            <w:proofErr w:type="spellStart"/>
                            <w:r w:rsidRPr="00A6524D">
                              <w:rPr>
                                <w:rFonts w:ascii="Arial" w:hAnsi="Arial" w:cs="Arial"/>
                                <w:b w:val="0"/>
                                <w:sz w:val="16"/>
                                <w:szCs w:val="16"/>
                              </w:rPr>
                              <w:t>US$'million</w:t>
                            </w:r>
                            <w:proofErr w:type="spellEnd"/>
                            <w:r w:rsidRPr="00A6524D">
                              <w:rPr>
                                <w:rFonts w:ascii="Arial" w:hAnsi="Arial" w:cs="Arial"/>
                                <w:b w:val="0"/>
                                <w:sz w:val="16"/>
                                <w:szCs w:val="16"/>
                              </w:rPr>
                              <w:t>)</w:t>
                            </w:r>
                          </w:p>
                        </w:tc>
                        <w:tc>
                          <w:tcPr>
                            <w:tcW w:w="1136" w:type="dxa"/>
                            <w:noWrap/>
                            <w:vAlign w:val="bottom"/>
                          </w:tcPr>
                          <w:p w:rsidR="009F755A" w:rsidRPr="009F755A" w:rsidRDefault="009F755A" w:rsidP="009F75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F755A">
                              <w:rPr>
                                <w:rFonts w:ascii="Arial" w:hAnsi="Arial" w:cs="Arial"/>
                                <w:sz w:val="16"/>
                                <w:szCs w:val="16"/>
                              </w:rPr>
                              <w:t>16,188.21</w:t>
                            </w:r>
                          </w:p>
                        </w:tc>
                        <w:tc>
                          <w:tcPr>
                            <w:tcW w:w="1136" w:type="dxa"/>
                            <w:noWrap/>
                            <w:vAlign w:val="bottom"/>
                          </w:tcPr>
                          <w:p w:rsidR="009F755A" w:rsidRPr="009F755A" w:rsidRDefault="009F755A" w:rsidP="009F75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F755A">
                              <w:rPr>
                                <w:rFonts w:ascii="Arial" w:hAnsi="Arial" w:cs="Arial"/>
                                <w:sz w:val="16"/>
                                <w:szCs w:val="16"/>
                              </w:rPr>
                              <w:t>16,358.58</w:t>
                            </w:r>
                          </w:p>
                        </w:tc>
                        <w:tc>
                          <w:tcPr>
                            <w:tcW w:w="979" w:type="dxa"/>
                            <w:noWrap/>
                            <w:vAlign w:val="bottom"/>
                          </w:tcPr>
                          <w:p w:rsidR="009F755A" w:rsidRPr="00405B5E" w:rsidRDefault="009F755A" w:rsidP="009F755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1.05%</w:t>
                            </w:r>
                          </w:p>
                        </w:tc>
                      </w:tr>
                      <w:tr w:rsidR="009F755A" w:rsidRPr="00E872E5" w:rsidTr="0087524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72" w:type="dxa"/>
                            <w:noWrap/>
                            <w:vAlign w:val="bottom"/>
                            <w:hideMark/>
                          </w:tcPr>
                          <w:p w:rsidR="009F755A" w:rsidRPr="00A6524D" w:rsidRDefault="009F755A" w:rsidP="000B5D3F">
                            <w:pPr>
                              <w:rPr>
                                <w:rFonts w:ascii="Arial" w:hAnsi="Arial" w:cs="Arial"/>
                                <w:b w:val="0"/>
                                <w:sz w:val="16"/>
                                <w:szCs w:val="16"/>
                              </w:rPr>
                            </w:pPr>
                            <w:r w:rsidRPr="00A6524D">
                              <w:rPr>
                                <w:rFonts w:ascii="Arial" w:hAnsi="Arial" w:cs="Arial"/>
                                <w:b w:val="0"/>
                                <w:sz w:val="16"/>
                                <w:szCs w:val="16"/>
                              </w:rPr>
                              <w:t>Volume traded (shares)</w:t>
                            </w:r>
                          </w:p>
                        </w:tc>
                        <w:tc>
                          <w:tcPr>
                            <w:tcW w:w="1136"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F755A">
                              <w:rPr>
                                <w:rFonts w:ascii="Arial" w:hAnsi="Arial" w:cs="Arial"/>
                                <w:sz w:val="16"/>
                                <w:szCs w:val="16"/>
                              </w:rPr>
                              <w:t>2,044,618.00</w:t>
                            </w:r>
                          </w:p>
                        </w:tc>
                        <w:tc>
                          <w:tcPr>
                            <w:tcW w:w="1136"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F755A">
                              <w:rPr>
                                <w:rFonts w:ascii="Arial" w:hAnsi="Arial" w:cs="Arial"/>
                                <w:sz w:val="16"/>
                                <w:szCs w:val="16"/>
                              </w:rPr>
                              <w:t>12,746,919.00</w:t>
                            </w:r>
                          </w:p>
                        </w:tc>
                        <w:tc>
                          <w:tcPr>
                            <w:tcW w:w="979" w:type="dxa"/>
                            <w:noWrap/>
                            <w:vAlign w:val="bottom"/>
                          </w:tcPr>
                          <w:p w:rsidR="009F755A" w:rsidRPr="00405B5E"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523.44%</w:t>
                            </w:r>
                          </w:p>
                        </w:tc>
                      </w:tr>
                      <w:tr w:rsidR="009F755A" w:rsidRPr="00E872E5" w:rsidTr="00875242">
                        <w:trPr>
                          <w:trHeight w:val="384"/>
                        </w:trPr>
                        <w:tc>
                          <w:tcPr>
                            <w:cnfStyle w:val="001000000000" w:firstRow="0" w:lastRow="0" w:firstColumn="1" w:lastColumn="0" w:oddVBand="0" w:evenVBand="0" w:oddHBand="0" w:evenHBand="0" w:firstRowFirstColumn="0" w:firstRowLastColumn="0" w:lastRowFirstColumn="0" w:lastRowLastColumn="0"/>
                            <w:tcW w:w="2372" w:type="dxa"/>
                            <w:noWrap/>
                            <w:vAlign w:val="bottom"/>
                          </w:tcPr>
                          <w:p w:rsidR="009F755A" w:rsidRPr="00A6524D" w:rsidRDefault="009F755A" w:rsidP="000B5D3F">
                            <w:pPr>
                              <w:rPr>
                                <w:rFonts w:ascii="Arial" w:hAnsi="Arial" w:cs="Arial"/>
                                <w:b w:val="0"/>
                                <w:sz w:val="16"/>
                                <w:szCs w:val="16"/>
                              </w:rPr>
                            </w:pPr>
                            <w:r w:rsidRPr="00A6524D">
                              <w:rPr>
                                <w:rFonts w:ascii="Arial" w:hAnsi="Arial" w:cs="Arial"/>
                                <w:b w:val="0"/>
                                <w:sz w:val="16"/>
                                <w:szCs w:val="16"/>
                              </w:rPr>
                              <w:t>Value Traded (GH¢)</w:t>
                            </w:r>
                          </w:p>
                        </w:tc>
                        <w:tc>
                          <w:tcPr>
                            <w:tcW w:w="1136" w:type="dxa"/>
                            <w:noWrap/>
                            <w:vAlign w:val="bottom"/>
                          </w:tcPr>
                          <w:p w:rsidR="009F755A" w:rsidRPr="009F755A" w:rsidRDefault="009F755A" w:rsidP="009F75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F755A">
                              <w:rPr>
                                <w:rFonts w:ascii="Arial" w:hAnsi="Arial" w:cs="Arial"/>
                                <w:sz w:val="16"/>
                                <w:szCs w:val="16"/>
                              </w:rPr>
                              <w:t>4,130,232.12</w:t>
                            </w:r>
                          </w:p>
                        </w:tc>
                        <w:tc>
                          <w:tcPr>
                            <w:tcW w:w="1136" w:type="dxa"/>
                            <w:noWrap/>
                            <w:vAlign w:val="bottom"/>
                          </w:tcPr>
                          <w:p w:rsidR="009F755A" w:rsidRPr="009F755A" w:rsidRDefault="009F755A" w:rsidP="009F755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F755A">
                              <w:rPr>
                                <w:rFonts w:ascii="Arial" w:hAnsi="Arial" w:cs="Arial"/>
                                <w:sz w:val="16"/>
                                <w:szCs w:val="16"/>
                              </w:rPr>
                              <w:t>17,962,234.12</w:t>
                            </w:r>
                          </w:p>
                        </w:tc>
                        <w:tc>
                          <w:tcPr>
                            <w:tcW w:w="979" w:type="dxa"/>
                            <w:noWrap/>
                            <w:vAlign w:val="bottom"/>
                          </w:tcPr>
                          <w:p w:rsidR="009F755A" w:rsidRPr="00405B5E" w:rsidRDefault="009F755A" w:rsidP="009F755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334.90%</w:t>
                            </w:r>
                          </w:p>
                        </w:tc>
                      </w:tr>
                      <w:tr w:rsidR="009F755A" w:rsidRPr="00E872E5" w:rsidTr="0087524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372" w:type="dxa"/>
                            <w:noWrap/>
                            <w:vAlign w:val="bottom"/>
                          </w:tcPr>
                          <w:p w:rsidR="009F755A" w:rsidRPr="00A6524D" w:rsidRDefault="009F755A" w:rsidP="000B5D3F">
                            <w:pPr>
                              <w:rPr>
                                <w:rFonts w:ascii="Arial" w:hAnsi="Arial" w:cs="Arial"/>
                                <w:b w:val="0"/>
                                <w:sz w:val="16"/>
                                <w:szCs w:val="16"/>
                              </w:rPr>
                            </w:pPr>
                            <w:r w:rsidRPr="00A6524D">
                              <w:rPr>
                                <w:rFonts w:ascii="Arial" w:hAnsi="Arial" w:cs="Arial"/>
                                <w:b w:val="0"/>
                                <w:sz w:val="16"/>
                                <w:szCs w:val="16"/>
                              </w:rPr>
                              <w:t>Value Traded (US$)</w:t>
                            </w:r>
                          </w:p>
                        </w:tc>
                        <w:tc>
                          <w:tcPr>
                            <w:tcW w:w="1136"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F755A">
                              <w:rPr>
                                <w:rFonts w:ascii="Arial" w:hAnsi="Arial" w:cs="Arial"/>
                                <w:sz w:val="16"/>
                                <w:szCs w:val="16"/>
                              </w:rPr>
                              <w:t>1,070,396.55</w:t>
                            </w:r>
                          </w:p>
                        </w:tc>
                        <w:tc>
                          <w:tcPr>
                            <w:tcW w:w="1136" w:type="dxa"/>
                            <w:noWrap/>
                            <w:vAlign w:val="bottom"/>
                          </w:tcPr>
                          <w:p w:rsidR="009F755A" w:rsidRPr="009F755A"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F755A">
                              <w:rPr>
                                <w:rFonts w:ascii="Arial" w:hAnsi="Arial" w:cs="Arial"/>
                                <w:sz w:val="16"/>
                                <w:szCs w:val="16"/>
                              </w:rPr>
                              <w:t>4,713,507.43</w:t>
                            </w:r>
                          </w:p>
                        </w:tc>
                        <w:tc>
                          <w:tcPr>
                            <w:tcW w:w="979" w:type="dxa"/>
                            <w:noWrap/>
                            <w:vAlign w:val="bottom"/>
                          </w:tcPr>
                          <w:p w:rsidR="009F755A" w:rsidRPr="00405B5E" w:rsidRDefault="009F755A" w:rsidP="009F755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340.35%</w:t>
                            </w:r>
                          </w:p>
                        </w:tc>
                      </w:tr>
                    </w:tbl>
                    <w:p w:rsidR="009F755A" w:rsidRPr="003A6BC3" w:rsidRDefault="009F755A" w:rsidP="00011D86">
                      <w:pPr>
                        <w:jc w:val="center"/>
                        <w:rPr>
                          <w:rFonts w:ascii="Times New Roman" w:hAnsi="Times New Roman" w:cs="Times New Roman"/>
                          <w:b/>
                          <w:color w:val="5F497A" w:themeColor="accent4" w:themeShade="BF"/>
                          <w:sz w:val="14"/>
                          <w:szCs w:val="16"/>
                        </w:rPr>
                      </w:pPr>
                      <w:r w:rsidRPr="003A6BC3">
                        <w:rPr>
                          <w:rFonts w:ascii="Times New Roman" w:hAnsi="Times New Roman" w:cs="Times New Roman"/>
                          <w:b/>
                          <w:color w:val="5F497A" w:themeColor="accent4" w:themeShade="BF"/>
                          <w:sz w:val="14"/>
                          <w:szCs w:val="16"/>
                        </w:rPr>
                        <w:t>Table 1: Market Summary</w:t>
                      </w:r>
                    </w:p>
                  </w:txbxContent>
                </v:textbox>
              </v:shape>
            </w:pict>
          </mc:Fallback>
        </mc:AlternateContent>
      </w:r>
    </w:p>
    <w:p w:rsidR="00FE7386" w:rsidRDefault="00FE7386" w:rsidP="00FE7386">
      <w:pPr>
        <w:rPr>
          <w:rFonts w:ascii="Tw Cen MT" w:hAnsi="Tw Cen MT"/>
        </w:rPr>
      </w:pPr>
    </w:p>
    <w:p w:rsidR="0023416D" w:rsidRDefault="00FE7386" w:rsidP="00FE7386">
      <w:pPr>
        <w:tabs>
          <w:tab w:val="left" w:pos="2930"/>
        </w:tabs>
        <w:rPr>
          <w:rFonts w:ascii="Tw Cen MT" w:hAnsi="Tw Cen MT"/>
        </w:rPr>
      </w:pPr>
      <w:r>
        <w:rPr>
          <w:rFonts w:ascii="Tw Cen MT" w:hAnsi="Tw Cen MT"/>
        </w:rPr>
        <w:tab/>
      </w:r>
    </w:p>
    <w:p w:rsidR="0023416D" w:rsidRPr="0023416D" w:rsidRDefault="0023416D" w:rsidP="0023416D">
      <w:pPr>
        <w:rPr>
          <w:rFonts w:ascii="Tw Cen MT" w:hAnsi="Tw Cen MT"/>
        </w:rPr>
      </w:pPr>
    </w:p>
    <w:p w:rsidR="0023416D" w:rsidRPr="0023416D" w:rsidRDefault="0023416D" w:rsidP="0023416D">
      <w:pPr>
        <w:rPr>
          <w:rFonts w:ascii="Tw Cen MT" w:hAnsi="Tw Cen MT"/>
        </w:rPr>
      </w:pPr>
    </w:p>
    <w:p w:rsidR="0023416D" w:rsidRPr="0023416D" w:rsidRDefault="00EF524F" w:rsidP="0023416D">
      <w:pPr>
        <w:rPr>
          <w:rFonts w:ascii="Tw Cen MT" w:hAnsi="Tw Cen MT"/>
        </w:rPr>
      </w:pPr>
      <w:r>
        <w:rPr>
          <w:rFonts w:ascii="Tw Cen MT" w:hAnsi="Tw Cen MT"/>
          <w:noProof/>
        </w:rPr>
        <mc:AlternateContent>
          <mc:Choice Requires="wps">
            <w:drawing>
              <wp:anchor distT="0" distB="0" distL="114300" distR="114300" simplePos="0" relativeHeight="251654144" behindDoc="0" locked="0" layoutInCell="1" allowOverlap="1">
                <wp:simplePos x="0" y="0"/>
                <wp:positionH relativeFrom="column">
                  <wp:posOffset>-616585</wp:posOffset>
                </wp:positionH>
                <wp:positionV relativeFrom="paragraph">
                  <wp:posOffset>287020</wp:posOffset>
                </wp:positionV>
                <wp:extent cx="1045210" cy="280670"/>
                <wp:effectExtent l="0" t="0" r="2540" b="508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80670"/>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55A" w:rsidRPr="00672492" w:rsidRDefault="009F755A" w:rsidP="00073520">
                            <w:pPr>
                              <w:spacing w:before="40" w:after="40"/>
                              <w:rPr>
                                <w:rFonts w:cstheme="minorHAnsi"/>
                                <w:b/>
                                <w:color w:val="7030A0"/>
                                <w:sz w:val="18"/>
                              </w:rPr>
                            </w:pPr>
                            <w:r>
                              <w:rPr>
                                <w:rFonts w:cstheme="minorHAnsi"/>
                                <w:b/>
                                <w:color w:val="7030A0"/>
                                <w:sz w:val="18"/>
                              </w:rPr>
                              <w:t>INDEX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margin-left:-48.55pt;margin-top:22.6pt;width:82.3pt;height:2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" fillcolor="#ccc0d9 [1303]" stroked="f">
                <v:textbox>
                  <w:txbxContent>
                    <w:p w:rsidR="001254A2" w:rsidRPr="00672492" w:rsidRDefault="001254A2" w:rsidP="00073520">
                      <w:pPr>
                        <w:spacing w:before="40" w:after="40"/>
                        <w:rPr>
                          <w:rFonts w:cstheme="minorHAnsi"/>
                          <w:b/>
                          <w:color w:val="7030A0"/>
                          <w:sz w:val="18"/>
                        </w:rPr>
                      </w:pPr>
                      <w:r>
                        <w:rPr>
                          <w:rFonts w:cstheme="minorHAnsi"/>
                          <w:b/>
                          <w:color w:val="7030A0"/>
                          <w:sz w:val="18"/>
                        </w:rPr>
                        <w:t>INDEX ANALYSIS</w:t>
                      </w:r>
                    </w:p>
                  </w:txbxContent>
                </v:textbox>
              </v:shape>
            </w:pict>
          </mc:Fallback>
        </mc:AlternateContent>
      </w:r>
    </w:p>
    <w:p w:rsidR="0023416D" w:rsidRPr="0023416D" w:rsidRDefault="00EF524F" w:rsidP="0023416D">
      <w:pPr>
        <w:rPr>
          <w:rFonts w:ascii="Tw Cen MT" w:hAnsi="Tw Cen MT"/>
        </w:rPr>
      </w:pPr>
      <w:r>
        <w:rPr>
          <w:rFonts w:ascii="Tw Cen MT" w:hAnsi="Tw Cen MT"/>
          <w:noProof/>
        </w:rPr>
        <mc:AlternateContent>
          <mc:Choice Requires="wps">
            <w:drawing>
              <wp:anchor distT="0" distB="0" distL="114300" distR="114300" simplePos="0" relativeHeight="251655168" behindDoc="0" locked="0" layoutInCell="1" allowOverlap="1">
                <wp:simplePos x="0" y="0"/>
                <wp:positionH relativeFrom="column">
                  <wp:posOffset>-664845</wp:posOffset>
                </wp:positionH>
                <wp:positionV relativeFrom="paragraph">
                  <wp:posOffset>266065</wp:posOffset>
                </wp:positionV>
                <wp:extent cx="3486150" cy="1254125"/>
                <wp:effectExtent l="0" t="0" r="0" b="3175"/>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25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LightShading-Accent4"/>
                              <w:tblW w:w="5239" w:type="dxa"/>
                              <w:jc w:val="center"/>
                              <w:tblLook w:val="04A0" w:firstRow="1" w:lastRow="0" w:firstColumn="1" w:lastColumn="0" w:noHBand="0" w:noVBand="1"/>
                            </w:tblPr>
                            <w:tblGrid>
                              <w:gridCol w:w="2245"/>
                              <w:gridCol w:w="839"/>
                              <w:gridCol w:w="1034"/>
                              <w:gridCol w:w="1121"/>
                            </w:tblGrid>
                            <w:tr w:rsidR="009F755A" w:rsidRPr="00C71B7A" w:rsidTr="00892A89">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2245" w:type="dxa"/>
                                  <w:noWrap/>
                                  <w:hideMark/>
                                </w:tcPr>
                                <w:p w:rsidR="009F755A" w:rsidRPr="003C00A8" w:rsidRDefault="009F755A" w:rsidP="00C71B7A">
                                  <w:pPr>
                                    <w:spacing w:before="40" w:after="40"/>
                                    <w:rPr>
                                      <w:rFonts w:ascii="Arial" w:eastAsia="Times New Roman" w:hAnsi="Arial" w:cs="Arial"/>
                                      <w:sz w:val="16"/>
                                      <w:szCs w:val="16"/>
                                    </w:rPr>
                                  </w:pPr>
                                  <w:r w:rsidRPr="003C00A8">
                                    <w:rPr>
                                      <w:rFonts w:ascii="Arial" w:eastAsia="Times New Roman" w:hAnsi="Arial" w:cs="Arial"/>
                                      <w:sz w:val="16"/>
                                      <w:szCs w:val="16"/>
                                    </w:rPr>
                                    <w:t>INDICATORS</w:t>
                                  </w:r>
                                </w:p>
                              </w:tc>
                              <w:tc>
                                <w:tcPr>
                                  <w:tcW w:w="839" w:type="dxa"/>
                                  <w:noWrap/>
                                  <w:hideMark/>
                                </w:tcPr>
                                <w:p w:rsidR="009F755A" w:rsidRPr="003C00A8" w:rsidRDefault="009F755A" w:rsidP="00C71B7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C00A8">
                                    <w:rPr>
                                      <w:rFonts w:ascii="Arial" w:eastAsia="Times New Roman" w:hAnsi="Arial" w:cs="Arial"/>
                                      <w:sz w:val="16"/>
                                      <w:szCs w:val="16"/>
                                    </w:rPr>
                                    <w:t>Closing Level</w:t>
                                  </w:r>
                                </w:p>
                              </w:tc>
                              <w:tc>
                                <w:tcPr>
                                  <w:tcW w:w="1034" w:type="dxa"/>
                                  <w:noWrap/>
                                  <w:hideMark/>
                                </w:tcPr>
                                <w:p w:rsidR="009F755A" w:rsidRPr="003C00A8" w:rsidRDefault="009F755A" w:rsidP="00C71B7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C00A8">
                                    <w:rPr>
                                      <w:rFonts w:ascii="Arial" w:eastAsia="Times New Roman" w:hAnsi="Arial" w:cs="Arial"/>
                                      <w:sz w:val="16"/>
                                      <w:szCs w:val="16"/>
                                    </w:rPr>
                                    <w:t>Week Change</w:t>
                                  </w:r>
                                </w:p>
                              </w:tc>
                              <w:tc>
                                <w:tcPr>
                                  <w:tcW w:w="1121" w:type="dxa"/>
                                  <w:noWrap/>
                                  <w:hideMark/>
                                </w:tcPr>
                                <w:p w:rsidR="009F755A" w:rsidRPr="003C00A8" w:rsidRDefault="009F755A" w:rsidP="00C71B7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C00A8">
                                    <w:rPr>
                                      <w:rFonts w:ascii="Arial" w:eastAsia="Times New Roman" w:hAnsi="Arial" w:cs="Arial"/>
                                      <w:sz w:val="16"/>
                                      <w:szCs w:val="16"/>
                                    </w:rPr>
                                    <w:t xml:space="preserve">YTD CHANGE </w:t>
                                  </w:r>
                                </w:p>
                              </w:tc>
                            </w:tr>
                            <w:tr w:rsidR="00405B5E" w:rsidRPr="00C71B7A" w:rsidTr="0010018F">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2245" w:type="dxa"/>
                                  <w:noWrap/>
                                  <w:vAlign w:val="bottom"/>
                                  <w:hideMark/>
                                </w:tcPr>
                                <w:p w:rsidR="00405B5E" w:rsidRPr="00562E4D" w:rsidRDefault="00405B5E">
                                  <w:pPr>
                                    <w:rPr>
                                      <w:rFonts w:ascii="Arial" w:hAnsi="Arial" w:cs="Arial"/>
                                      <w:b w:val="0"/>
                                      <w:sz w:val="16"/>
                                      <w:szCs w:val="16"/>
                                    </w:rPr>
                                  </w:pPr>
                                  <w:r w:rsidRPr="00562E4D">
                                    <w:rPr>
                                      <w:rFonts w:ascii="Arial" w:hAnsi="Arial" w:cs="Arial"/>
                                      <w:b w:val="0"/>
                                      <w:sz w:val="16"/>
                                      <w:szCs w:val="16"/>
                                    </w:rPr>
                                    <w:t>GSE Composite Index</w:t>
                                  </w:r>
                                </w:p>
                              </w:tc>
                              <w:tc>
                                <w:tcPr>
                                  <w:tcW w:w="839" w:type="dxa"/>
                                  <w:noWrap/>
                                  <w:vAlign w:val="bottom"/>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2,039.07</w:t>
                                  </w:r>
                                </w:p>
                              </w:tc>
                              <w:tc>
                                <w:tcPr>
                                  <w:tcW w:w="1034" w:type="dxa"/>
                                  <w:noWrap/>
                                  <w:vAlign w:val="bottom"/>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-1.11%</w:t>
                                  </w:r>
                                </w:p>
                              </w:tc>
                              <w:tc>
                                <w:tcPr>
                                  <w:tcW w:w="1121" w:type="dxa"/>
                                  <w:noWrap/>
                                  <w:vAlign w:val="bottom"/>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-9.82%</w:t>
                                  </w:r>
                                </w:p>
                              </w:tc>
                            </w:tr>
                            <w:tr w:rsidR="00405B5E" w:rsidRPr="00C71B7A" w:rsidTr="0010018F">
                              <w:trPr>
                                <w:trHeight w:val="383"/>
                                <w:jc w:val="center"/>
                              </w:trPr>
                              <w:tc>
                                <w:tcPr>
                                  <w:cnfStyle w:val="001000000000" w:firstRow="0" w:lastRow="0" w:firstColumn="1" w:lastColumn="0" w:oddVBand="0" w:evenVBand="0" w:oddHBand="0" w:evenHBand="0" w:firstRowFirstColumn="0" w:firstRowLastColumn="0" w:lastRowFirstColumn="0" w:lastRowLastColumn="0"/>
                                  <w:tcW w:w="2245" w:type="dxa"/>
                                  <w:noWrap/>
                                  <w:vAlign w:val="bottom"/>
                                  <w:hideMark/>
                                </w:tcPr>
                                <w:p w:rsidR="00405B5E" w:rsidRPr="00562E4D" w:rsidRDefault="00405B5E">
                                  <w:pPr>
                                    <w:rPr>
                                      <w:rFonts w:ascii="Arial" w:hAnsi="Arial" w:cs="Arial"/>
                                      <w:b w:val="0"/>
                                      <w:sz w:val="16"/>
                                      <w:szCs w:val="16"/>
                                    </w:rPr>
                                  </w:pPr>
                                  <w:r w:rsidRPr="00562E4D">
                                    <w:rPr>
                                      <w:rFonts w:ascii="Arial" w:hAnsi="Arial" w:cs="Arial"/>
                                      <w:b w:val="0"/>
                                      <w:sz w:val="16"/>
                                      <w:szCs w:val="16"/>
                                    </w:rPr>
                                    <w:t>SIC-FSL Top 15 Index</w:t>
                                  </w:r>
                                </w:p>
                              </w:tc>
                              <w:tc>
                                <w:tcPr>
                                  <w:tcW w:w="839" w:type="dxa"/>
                                  <w:noWrap/>
                                  <w:vAlign w:val="bottom"/>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3,802.12</w:t>
                                  </w:r>
                                </w:p>
                              </w:tc>
                              <w:tc>
                                <w:tcPr>
                                  <w:tcW w:w="1034" w:type="dxa"/>
                                  <w:noWrap/>
                                  <w:vAlign w:val="bottom"/>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-0.58%</w:t>
                                  </w:r>
                                </w:p>
                              </w:tc>
                              <w:tc>
                                <w:tcPr>
                                  <w:tcW w:w="1121" w:type="dxa"/>
                                  <w:noWrap/>
                                  <w:vAlign w:val="bottom"/>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-3.58%</w:t>
                                  </w:r>
                                </w:p>
                              </w:tc>
                            </w:tr>
                            <w:tr w:rsidR="00405B5E" w:rsidRPr="00C71B7A" w:rsidTr="0010018F">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2245" w:type="dxa"/>
                                  <w:noWrap/>
                                  <w:vAlign w:val="bottom"/>
                                </w:tcPr>
                                <w:p w:rsidR="00405B5E" w:rsidRPr="00562E4D" w:rsidRDefault="00405B5E">
                                  <w:pPr>
                                    <w:rPr>
                                      <w:rFonts w:ascii="Arial" w:hAnsi="Arial" w:cs="Arial"/>
                                      <w:b w:val="0"/>
                                      <w:sz w:val="16"/>
                                      <w:szCs w:val="16"/>
                                    </w:rPr>
                                  </w:pPr>
                                  <w:r w:rsidRPr="00562E4D">
                                    <w:rPr>
                                      <w:rFonts w:ascii="Arial" w:hAnsi="Arial" w:cs="Arial"/>
                                      <w:b w:val="0"/>
                                      <w:sz w:val="16"/>
                                      <w:szCs w:val="16"/>
                                    </w:rPr>
                                    <w:t>GSE Financial Stocks Index</w:t>
                                  </w:r>
                                </w:p>
                              </w:tc>
                              <w:tc>
                                <w:tcPr>
                                  <w:tcW w:w="839" w:type="dxa"/>
                                  <w:noWrap/>
                                  <w:vAlign w:val="bottom"/>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1,991.88</w:t>
                                  </w:r>
                                </w:p>
                              </w:tc>
                              <w:tc>
                                <w:tcPr>
                                  <w:tcW w:w="1034" w:type="dxa"/>
                                  <w:noWrap/>
                                  <w:vAlign w:val="bottom"/>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-1.27%</w:t>
                                  </w:r>
                                </w:p>
                              </w:tc>
                              <w:tc>
                                <w:tcPr>
                                  <w:tcW w:w="1121" w:type="dxa"/>
                                  <w:noWrap/>
                                  <w:vAlign w:val="bottom"/>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-11.22%</w:t>
                                  </w:r>
                                </w:p>
                              </w:tc>
                            </w:tr>
                          </w:tbl>
                          <w:p w:rsidR="009F755A" w:rsidRPr="003A6BC3" w:rsidRDefault="009F755A" w:rsidP="00F1774E">
                            <w:pPr>
                              <w:jc w:val="center"/>
                              <w:rPr>
                                <w:rFonts w:ascii="Times New Roman" w:hAnsi="Times New Roman" w:cs="Times New Roman"/>
                                <w:b/>
                                <w:color w:val="5F497A" w:themeColor="accent4" w:themeShade="BF"/>
                                <w:sz w:val="14"/>
                                <w:szCs w:val="16"/>
                              </w:rPr>
                            </w:pPr>
                            <w:r w:rsidRPr="003A6BC3">
                              <w:rPr>
                                <w:rFonts w:ascii="Times New Roman" w:hAnsi="Times New Roman" w:cs="Times New Roman"/>
                                <w:b/>
                                <w:color w:val="5F497A" w:themeColor="accent4" w:themeShade="BF"/>
                                <w:sz w:val="14"/>
                                <w:szCs w:val="16"/>
                              </w:rPr>
                              <w:t>Table 2: Key Stock Market Indices</w:t>
                            </w:r>
                          </w:p>
                          <w:p w:rsidR="009F755A" w:rsidRPr="00073520" w:rsidRDefault="009F755A" w:rsidP="00F1774E">
                            <w:pPr>
                              <w:rPr>
                                <w:rFonts w:ascii="Tw Cen MT" w:hAnsi="Tw Cen MT"/>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52.35pt;margin-top:20.95pt;width:274.5pt;height:9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" stroked="f">
                <v:textbox>
                  <w:txbxContent>
                    <w:tbl>
                      <w:tblPr>
                        <w:tblStyle w:val="LightShading-Accent4"/>
                        <w:tblW w:w="5239" w:type="dxa"/>
                        <w:jc w:val="center"/>
                        <w:tblLook w:val="04A0" w:firstRow="1" w:lastRow="0" w:firstColumn="1" w:lastColumn="0" w:noHBand="0" w:noVBand="1"/>
                      </w:tblPr>
                      <w:tblGrid>
                        <w:gridCol w:w="2245"/>
                        <w:gridCol w:w="839"/>
                        <w:gridCol w:w="1034"/>
                        <w:gridCol w:w="1121"/>
                      </w:tblGrid>
                      <w:tr w:rsidR="009F755A" w:rsidRPr="00C71B7A" w:rsidTr="00892A89">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2245" w:type="dxa"/>
                            <w:noWrap/>
                            <w:hideMark/>
                          </w:tcPr>
                          <w:p w:rsidR="009F755A" w:rsidRPr="003C00A8" w:rsidRDefault="009F755A" w:rsidP="00C71B7A">
                            <w:pPr>
                              <w:spacing w:before="40" w:after="40"/>
                              <w:rPr>
                                <w:rFonts w:ascii="Arial" w:eastAsia="Times New Roman" w:hAnsi="Arial" w:cs="Arial"/>
                                <w:sz w:val="16"/>
                                <w:szCs w:val="16"/>
                              </w:rPr>
                            </w:pPr>
                            <w:r w:rsidRPr="003C00A8">
                              <w:rPr>
                                <w:rFonts w:ascii="Arial" w:eastAsia="Times New Roman" w:hAnsi="Arial" w:cs="Arial"/>
                                <w:sz w:val="16"/>
                                <w:szCs w:val="16"/>
                              </w:rPr>
                              <w:t>INDICATORS</w:t>
                            </w:r>
                          </w:p>
                        </w:tc>
                        <w:tc>
                          <w:tcPr>
                            <w:tcW w:w="839" w:type="dxa"/>
                            <w:noWrap/>
                            <w:hideMark/>
                          </w:tcPr>
                          <w:p w:rsidR="009F755A" w:rsidRPr="003C00A8" w:rsidRDefault="009F755A" w:rsidP="00C71B7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C00A8">
                              <w:rPr>
                                <w:rFonts w:ascii="Arial" w:eastAsia="Times New Roman" w:hAnsi="Arial" w:cs="Arial"/>
                                <w:sz w:val="16"/>
                                <w:szCs w:val="16"/>
                              </w:rPr>
                              <w:t>Closing Level</w:t>
                            </w:r>
                          </w:p>
                        </w:tc>
                        <w:tc>
                          <w:tcPr>
                            <w:tcW w:w="1034" w:type="dxa"/>
                            <w:noWrap/>
                            <w:hideMark/>
                          </w:tcPr>
                          <w:p w:rsidR="009F755A" w:rsidRPr="003C00A8" w:rsidRDefault="009F755A" w:rsidP="00C71B7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C00A8">
                              <w:rPr>
                                <w:rFonts w:ascii="Arial" w:eastAsia="Times New Roman" w:hAnsi="Arial" w:cs="Arial"/>
                                <w:sz w:val="16"/>
                                <w:szCs w:val="16"/>
                              </w:rPr>
                              <w:t>Week Change</w:t>
                            </w:r>
                          </w:p>
                        </w:tc>
                        <w:tc>
                          <w:tcPr>
                            <w:tcW w:w="1121" w:type="dxa"/>
                            <w:noWrap/>
                            <w:hideMark/>
                          </w:tcPr>
                          <w:p w:rsidR="009F755A" w:rsidRPr="003C00A8" w:rsidRDefault="009F755A" w:rsidP="00C71B7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3C00A8">
                              <w:rPr>
                                <w:rFonts w:ascii="Arial" w:eastAsia="Times New Roman" w:hAnsi="Arial" w:cs="Arial"/>
                                <w:sz w:val="16"/>
                                <w:szCs w:val="16"/>
                              </w:rPr>
                              <w:t xml:space="preserve">YTD CHANGE </w:t>
                            </w:r>
                          </w:p>
                        </w:tc>
                      </w:tr>
                      <w:tr w:rsidR="00405B5E" w:rsidRPr="00C71B7A" w:rsidTr="0010018F">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2245" w:type="dxa"/>
                            <w:noWrap/>
                            <w:vAlign w:val="bottom"/>
                            <w:hideMark/>
                          </w:tcPr>
                          <w:p w:rsidR="00405B5E" w:rsidRPr="00562E4D" w:rsidRDefault="00405B5E">
                            <w:pPr>
                              <w:rPr>
                                <w:rFonts w:ascii="Arial" w:hAnsi="Arial" w:cs="Arial"/>
                                <w:b w:val="0"/>
                                <w:sz w:val="16"/>
                                <w:szCs w:val="16"/>
                              </w:rPr>
                            </w:pPr>
                            <w:r w:rsidRPr="00562E4D">
                              <w:rPr>
                                <w:rFonts w:ascii="Arial" w:hAnsi="Arial" w:cs="Arial"/>
                                <w:b w:val="0"/>
                                <w:sz w:val="16"/>
                                <w:szCs w:val="16"/>
                              </w:rPr>
                              <w:t>GSE Composite Index</w:t>
                            </w:r>
                          </w:p>
                        </w:tc>
                        <w:tc>
                          <w:tcPr>
                            <w:tcW w:w="839" w:type="dxa"/>
                            <w:noWrap/>
                            <w:vAlign w:val="bottom"/>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2,039.07</w:t>
                            </w:r>
                          </w:p>
                        </w:tc>
                        <w:tc>
                          <w:tcPr>
                            <w:tcW w:w="1034" w:type="dxa"/>
                            <w:noWrap/>
                            <w:vAlign w:val="bottom"/>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-1.11%</w:t>
                            </w:r>
                          </w:p>
                        </w:tc>
                        <w:tc>
                          <w:tcPr>
                            <w:tcW w:w="1121" w:type="dxa"/>
                            <w:noWrap/>
                            <w:vAlign w:val="bottom"/>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-9.82%</w:t>
                            </w:r>
                          </w:p>
                        </w:tc>
                      </w:tr>
                      <w:tr w:rsidR="00405B5E" w:rsidRPr="00C71B7A" w:rsidTr="0010018F">
                        <w:trPr>
                          <w:trHeight w:val="383"/>
                          <w:jc w:val="center"/>
                        </w:trPr>
                        <w:tc>
                          <w:tcPr>
                            <w:cnfStyle w:val="001000000000" w:firstRow="0" w:lastRow="0" w:firstColumn="1" w:lastColumn="0" w:oddVBand="0" w:evenVBand="0" w:oddHBand="0" w:evenHBand="0" w:firstRowFirstColumn="0" w:firstRowLastColumn="0" w:lastRowFirstColumn="0" w:lastRowLastColumn="0"/>
                            <w:tcW w:w="2245" w:type="dxa"/>
                            <w:noWrap/>
                            <w:vAlign w:val="bottom"/>
                            <w:hideMark/>
                          </w:tcPr>
                          <w:p w:rsidR="00405B5E" w:rsidRPr="00562E4D" w:rsidRDefault="00405B5E">
                            <w:pPr>
                              <w:rPr>
                                <w:rFonts w:ascii="Arial" w:hAnsi="Arial" w:cs="Arial"/>
                                <w:b w:val="0"/>
                                <w:sz w:val="16"/>
                                <w:szCs w:val="16"/>
                              </w:rPr>
                            </w:pPr>
                            <w:r w:rsidRPr="00562E4D">
                              <w:rPr>
                                <w:rFonts w:ascii="Arial" w:hAnsi="Arial" w:cs="Arial"/>
                                <w:b w:val="0"/>
                                <w:sz w:val="16"/>
                                <w:szCs w:val="16"/>
                              </w:rPr>
                              <w:t>SIC-FSL Top 15 Index</w:t>
                            </w:r>
                          </w:p>
                        </w:tc>
                        <w:tc>
                          <w:tcPr>
                            <w:tcW w:w="839" w:type="dxa"/>
                            <w:noWrap/>
                            <w:vAlign w:val="bottom"/>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3,802.12</w:t>
                            </w:r>
                          </w:p>
                        </w:tc>
                        <w:tc>
                          <w:tcPr>
                            <w:tcW w:w="1034" w:type="dxa"/>
                            <w:noWrap/>
                            <w:vAlign w:val="bottom"/>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-0.58%</w:t>
                            </w:r>
                          </w:p>
                        </w:tc>
                        <w:tc>
                          <w:tcPr>
                            <w:tcW w:w="1121" w:type="dxa"/>
                            <w:noWrap/>
                            <w:vAlign w:val="bottom"/>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-3.58%</w:t>
                            </w:r>
                          </w:p>
                        </w:tc>
                      </w:tr>
                      <w:tr w:rsidR="00405B5E" w:rsidRPr="00C71B7A" w:rsidTr="0010018F">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2245" w:type="dxa"/>
                            <w:noWrap/>
                            <w:vAlign w:val="bottom"/>
                          </w:tcPr>
                          <w:p w:rsidR="00405B5E" w:rsidRPr="00562E4D" w:rsidRDefault="00405B5E">
                            <w:pPr>
                              <w:rPr>
                                <w:rFonts w:ascii="Arial" w:hAnsi="Arial" w:cs="Arial"/>
                                <w:b w:val="0"/>
                                <w:sz w:val="16"/>
                                <w:szCs w:val="16"/>
                              </w:rPr>
                            </w:pPr>
                            <w:r w:rsidRPr="00562E4D">
                              <w:rPr>
                                <w:rFonts w:ascii="Arial" w:hAnsi="Arial" w:cs="Arial"/>
                                <w:b w:val="0"/>
                                <w:sz w:val="16"/>
                                <w:szCs w:val="16"/>
                              </w:rPr>
                              <w:t>GSE Financial Stocks Index</w:t>
                            </w:r>
                          </w:p>
                        </w:tc>
                        <w:tc>
                          <w:tcPr>
                            <w:tcW w:w="839" w:type="dxa"/>
                            <w:noWrap/>
                            <w:vAlign w:val="bottom"/>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1,991.88</w:t>
                            </w:r>
                          </w:p>
                        </w:tc>
                        <w:tc>
                          <w:tcPr>
                            <w:tcW w:w="1034" w:type="dxa"/>
                            <w:noWrap/>
                            <w:vAlign w:val="bottom"/>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-1.27%</w:t>
                            </w:r>
                          </w:p>
                        </w:tc>
                        <w:tc>
                          <w:tcPr>
                            <w:tcW w:w="1121" w:type="dxa"/>
                            <w:noWrap/>
                            <w:vAlign w:val="bottom"/>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-11.22%</w:t>
                            </w:r>
                          </w:p>
                        </w:tc>
                      </w:tr>
                    </w:tbl>
                    <w:p w:rsidR="009F755A" w:rsidRPr="003A6BC3" w:rsidRDefault="009F755A" w:rsidP="00F1774E">
                      <w:pPr>
                        <w:jc w:val="center"/>
                        <w:rPr>
                          <w:rFonts w:ascii="Times New Roman" w:hAnsi="Times New Roman" w:cs="Times New Roman"/>
                          <w:b/>
                          <w:color w:val="5F497A" w:themeColor="accent4" w:themeShade="BF"/>
                          <w:sz w:val="14"/>
                          <w:szCs w:val="16"/>
                        </w:rPr>
                      </w:pPr>
                      <w:r w:rsidRPr="003A6BC3">
                        <w:rPr>
                          <w:rFonts w:ascii="Times New Roman" w:hAnsi="Times New Roman" w:cs="Times New Roman"/>
                          <w:b/>
                          <w:color w:val="5F497A" w:themeColor="accent4" w:themeShade="BF"/>
                          <w:sz w:val="14"/>
                          <w:szCs w:val="16"/>
                        </w:rPr>
                        <w:t>Table 2: Key Stock Market Indices</w:t>
                      </w:r>
                    </w:p>
                    <w:p w:rsidR="009F755A" w:rsidRPr="00073520" w:rsidRDefault="009F755A" w:rsidP="00F1774E">
                      <w:pPr>
                        <w:rPr>
                          <w:rFonts w:ascii="Tw Cen MT" w:hAnsi="Tw Cen MT"/>
                          <w:sz w:val="20"/>
                        </w:rPr>
                      </w:pPr>
                    </w:p>
                  </w:txbxContent>
                </v:textbox>
              </v:shape>
            </w:pict>
          </mc:Fallback>
        </mc:AlternateContent>
      </w:r>
    </w:p>
    <w:p w:rsidR="0023416D" w:rsidRPr="0023416D" w:rsidRDefault="0023416D" w:rsidP="0023416D">
      <w:pPr>
        <w:rPr>
          <w:rFonts w:ascii="Tw Cen MT" w:hAnsi="Tw Cen MT"/>
        </w:rPr>
      </w:pPr>
    </w:p>
    <w:p w:rsidR="0023416D" w:rsidRPr="0023416D" w:rsidRDefault="0023416D" w:rsidP="0023416D">
      <w:pPr>
        <w:rPr>
          <w:rFonts w:ascii="Tw Cen MT" w:hAnsi="Tw Cen MT"/>
        </w:rPr>
      </w:pPr>
    </w:p>
    <w:p w:rsidR="0023416D" w:rsidRPr="0023416D" w:rsidRDefault="0023416D" w:rsidP="0023416D">
      <w:pPr>
        <w:rPr>
          <w:rFonts w:ascii="Tw Cen MT" w:hAnsi="Tw Cen MT"/>
        </w:rPr>
      </w:pPr>
    </w:p>
    <w:p w:rsidR="0023416D" w:rsidRPr="0023416D" w:rsidRDefault="0023416D" w:rsidP="0023416D">
      <w:pPr>
        <w:rPr>
          <w:rFonts w:ascii="Tw Cen MT" w:hAnsi="Tw Cen MT"/>
        </w:rPr>
      </w:pPr>
    </w:p>
    <w:p w:rsidR="0023416D" w:rsidRPr="0023416D" w:rsidRDefault="008B5C35" w:rsidP="0023416D">
      <w:pPr>
        <w:rPr>
          <w:rFonts w:ascii="Tw Cen MT" w:hAnsi="Tw Cen MT"/>
        </w:rPr>
      </w:pPr>
      <w:r>
        <w:rPr>
          <w:rFonts w:ascii="Tw Cen MT" w:hAnsi="Tw Cen MT"/>
          <w:noProof/>
        </w:rPr>
        <mc:AlternateContent>
          <mc:Choice Requires="wps">
            <w:drawing>
              <wp:anchor distT="0" distB="0" distL="114300" distR="114300" simplePos="0" relativeHeight="251672576" behindDoc="0" locked="0" layoutInCell="1" allowOverlap="1" wp14:anchorId="6E08D9D7" wp14:editId="6499EFEF">
                <wp:simplePos x="0" y="0"/>
                <wp:positionH relativeFrom="column">
                  <wp:posOffset>-571500</wp:posOffset>
                </wp:positionH>
                <wp:positionV relativeFrom="paragraph">
                  <wp:posOffset>148590</wp:posOffset>
                </wp:positionV>
                <wp:extent cx="997585" cy="295275"/>
                <wp:effectExtent l="0" t="0" r="0" b="9525"/>
                <wp:wrapNone/>
                <wp:docPr id="2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295275"/>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55A" w:rsidRPr="00521909" w:rsidRDefault="009F755A" w:rsidP="00E50514">
                            <w:pPr>
                              <w:spacing w:before="40" w:after="40"/>
                              <w:jc w:val="center"/>
                              <w:rPr>
                                <w:rFonts w:cstheme="minorHAnsi"/>
                                <w:b/>
                                <w:color w:val="7030A0"/>
                                <w:sz w:val="18"/>
                              </w:rPr>
                            </w:pPr>
                            <w:r w:rsidRPr="00521909">
                              <w:rPr>
                                <w:rFonts w:cstheme="minorHAnsi"/>
                                <w:b/>
                                <w:color w:val="7030A0"/>
                                <w:sz w:val="18"/>
                              </w:rPr>
                              <w:t>LIQUIDITY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margin-left:-45pt;margin-top:11.7pt;width:78.5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" fillcolor="#ccc0d9 [1303]" stroked="f">
                <v:textbox>
                  <w:txbxContent>
                    <w:p w:rsidR="001254A2" w:rsidRPr="00521909" w:rsidRDefault="001254A2" w:rsidP="00E50514">
                      <w:pPr>
                        <w:spacing w:before="40" w:after="40"/>
                        <w:jc w:val="center"/>
                        <w:rPr>
                          <w:rFonts w:cstheme="minorHAnsi"/>
                          <w:b/>
                          <w:color w:val="7030A0"/>
                          <w:sz w:val="18"/>
                        </w:rPr>
                      </w:pPr>
                      <w:r w:rsidRPr="00521909">
                        <w:rPr>
                          <w:rFonts w:cstheme="minorHAnsi"/>
                          <w:b/>
                          <w:color w:val="7030A0"/>
                          <w:sz w:val="18"/>
                        </w:rPr>
                        <w:t>LIQUIDITY</w:t>
                      </w:r>
                    </w:p>
                  </w:txbxContent>
                </v:textbox>
              </v:shape>
            </w:pict>
          </mc:Fallback>
        </mc:AlternateContent>
      </w:r>
    </w:p>
    <w:p w:rsidR="0023416D" w:rsidRPr="0023416D" w:rsidRDefault="00243509" w:rsidP="0023416D">
      <w:pPr>
        <w:rPr>
          <w:rFonts w:ascii="Tw Cen MT" w:hAnsi="Tw Cen MT"/>
        </w:rPr>
      </w:pPr>
      <w:r>
        <w:rPr>
          <w:rFonts w:ascii="Tw Cen MT" w:hAnsi="Tw Cen MT"/>
          <w:noProof/>
        </w:rPr>
        <mc:AlternateContent>
          <mc:Choice Requires="wps">
            <w:drawing>
              <wp:anchor distT="0" distB="0" distL="114300" distR="114300" simplePos="0" relativeHeight="251656192" behindDoc="0" locked="0" layoutInCell="1" allowOverlap="1" wp14:anchorId="0B7B4EFD" wp14:editId="149203F3">
                <wp:simplePos x="0" y="0"/>
                <wp:positionH relativeFrom="column">
                  <wp:posOffset>-666750</wp:posOffset>
                </wp:positionH>
                <wp:positionV relativeFrom="paragraph">
                  <wp:posOffset>211456</wp:posOffset>
                </wp:positionV>
                <wp:extent cx="3829050" cy="21145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11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994" w:rsidRPr="00D63994" w:rsidRDefault="00D63994" w:rsidP="00D63994">
                            <w:pPr>
                              <w:jc w:val="both"/>
                              <w:rPr>
                                <w:rFonts w:ascii="Tw Cen MT" w:eastAsia="Times New Roman" w:hAnsi="Tw Cen MT" w:cs="Times New Roman"/>
                                <w:sz w:val="20"/>
                                <w:szCs w:val="20"/>
                              </w:rPr>
                            </w:pPr>
                            <w:r w:rsidRPr="00D63994">
                              <w:rPr>
                                <w:rFonts w:ascii="Tw Cen MT" w:eastAsia="Times New Roman" w:hAnsi="Tw Cen MT" w:cs="Times New Roman"/>
                                <w:sz w:val="20"/>
                                <w:szCs w:val="20"/>
                              </w:rPr>
                              <w:t xml:space="preserve">Despite the reduced number of trading days last week following the holidays that accompanied the Founder’s Day and </w:t>
                            </w:r>
                            <w:proofErr w:type="spellStart"/>
                            <w:r w:rsidRPr="00D63994">
                              <w:rPr>
                                <w:rFonts w:ascii="Tw Cen MT" w:eastAsia="Times New Roman" w:hAnsi="Tw Cen MT" w:cs="Times New Roman"/>
                                <w:sz w:val="20"/>
                                <w:szCs w:val="20"/>
                              </w:rPr>
                              <w:t>Eid</w:t>
                            </w:r>
                            <w:proofErr w:type="spellEnd"/>
                            <w:r w:rsidRPr="00D63994">
                              <w:rPr>
                                <w:rFonts w:ascii="Tw Cen MT" w:eastAsia="Times New Roman" w:hAnsi="Tw Cen MT" w:cs="Times New Roman"/>
                                <w:sz w:val="20"/>
                                <w:szCs w:val="20"/>
                              </w:rPr>
                              <w:t xml:space="preserve"> al-</w:t>
                            </w:r>
                            <w:proofErr w:type="spellStart"/>
                            <w:r w:rsidRPr="00D63994">
                              <w:rPr>
                                <w:rFonts w:ascii="Tw Cen MT" w:eastAsia="Times New Roman" w:hAnsi="Tw Cen MT" w:cs="Times New Roman"/>
                                <w:sz w:val="20"/>
                                <w:szCs w:val="20"/>
                              </w:rPr>
                              <w:t>Adha</w:t>
                            </w:r>
                            <w:proofErr w:type="spellEnd"/>
                            <w:r w:rsidRPr="00D63994">
                              <w:rPr>
                                <w:rFonts w:ascii="Tw Cen MT" w:eastAsia="Times New Roman" w:hAnsi="Tw Cen MT" w:cs="Times New Roman"/>
                                <w:sz w:val="20"/>
                                <w:szCs w:val="20"/>
                              </w:rPr>
                              <w:t xml:space="preserve"> celebration, total shares traded were still better than the previous week’s figure. Ghana Oil Company Limited (GOIL) recorded an approximate 10 million block trade last week to shoot market activities up considerably. A total of 12.75 million shares traded, and this represented an increase of 523.44% over its performance the week before. Similarly, corresponding value traded also increased by 334.90% to settle at GH¢17.96 million.</w:t>
                            </w:r>
                          </w:p>
                          <w:p w:rsidR="00D63994" w:rsidRPr="00D63994" w:rsidRDefault="00D63994" w:rsidP="00D63994">
                            <w:pPr>
                              <w:jc w:val="both"/>
                              <w:rPr>
                                <w:rFonts w:ascii="Tw Cen MT" w:eastAsia="Times New Roman" w:hAnsi="Tw Cen MT" w:cs="Times New Roman"/>
                                <w:sz w:val="20"/>
                                <w:szCs w:val="20"/>
                              </w:rPr>
                            </w:pPr>
                            <w:r w:rsidRPr="00D63994">
                              <w:rPr>
                                <w:rFonts w:ascii="Tw Cen MT" w:eastAsia="Times New Roman" w:hAnsi="Tw Cen MT" w:cs="Times New Roman"/>
                                <w:sz w:val="20"/>
                                <w:szCs w:val="20"/>
                              </w:rPr>
                              <w:t>As expected, GOIL emerged the most active stock in the week after contributing 79.05% and 78.53% of both volume and value traded.</w:t>
                            </w:r>
                          </w:p>
                          <w:p w:rsidR="009F755A" w:rsidRPr="00A27FEE" w:rsidRDefault="009F755A" w:rsidP="00A27FEE">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52.5pt;margin-top:16.65pt;width:301.5pt;height:1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JrhQIAABo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" stroked="f">
                <v:textbox>
                  <w:txbxContent>
                    <w:p w:rsidR="00D63994" w:rsidRPr="00D63994" w:rsidRDefault="00D63994" w:rsidP="00D63994">
                      <w:pPr>
                        <w:jc w:val="both"/>
                        <w:rPr>
                          <w:rFonts w:ascii="Tw Cen MT" w:eastAsia="Times New Roman" w:hAnsi="Tw Cen MT" w:cs="Times New Roman"/>
                          <w:sz w:val="20"/>
                          <w:szCs w:val="20"/>
                        </w:rPr>
                      </w:pPr>
                      <w:r w:rsidRPr="00D63994">
                        <w:rPr>
                          <w:rFonts w:ascii="Tw Cen MT" w:eastAsia="Times New Roman" w:hAnsi="Tw Cen MT" w:cs="Times New Roman"/>
                          <w:sz w:val="20"/>
                          <w:szCs w:val="20"/>
                        </w:rPr>
                        <w:t xml:space="preserve">Despite the reduced number of trading days last week following the holidays that accompanied the Founder’s Day and </w:t>
                      </w:r>
                      <w:proofErr w:type="spellStart"/>
                      <w:r w:rsidRPr="00D63994">
                        <w:rPr>
                          <w:rFonts w:ascii="Tw Cen MT" w:eastAsia="Times New Roman" w:hAnsi="Tw Cen MT" w:cs="Times New Roman"/>
                          <w:sz w:val="20"/>
                          <w:szCs w:val="20"/>
                        </w:rPr>
                        <w:t>Eid</w:t>
                      </w:r>
                      <w:proofErr w:type="spellEnd"/>
                      <w:r w:rsidRPr="00D63994">
                        <w:rPr>
                          <w:rFonts w:ascii="Tw Cen MT" w:eastAsia="Times New Roman" w:hAnsi="Tw Cen MT" w:cs="Times New Roman"/>
                          <w:sz w:val="20"/>
                          <w:szCs w:val="20"/>
                        </w:rPr>
                        <w:t xml:space="preserve"> al-</w:t>
                      </w:r>
                      <w:proofErr w:type="spellStart"/>
                      <w:r w:rsidRPr="00D63994">
                        <w:rPr>
                          <w:rFonts w:ascii="Tw Cen MT" w:eastAsia="Times New Roman" w:hAnsi="Tw Cen MT" w:cs="Times New Roman"/>
                          <w:sz w:val="20"/>
                          <w:szCs w:val="20"/>
                        </w:rPr>
                        <w:t>Adha</w:t>
                      </w:r>
                      <w:proofErr w:type="spellEnd"/>
                      <w:r w:rsidRPr="00D63994">
                        <w:rPr>
                          <w:rFonts w:ascii="Tw Cen MT" w:eastAsia="Times New Roman" w:hAnsi="Tw Cen MT" w:cs="Times New Roman"/>
                          <w:sz w:val="20"/>
                          <w:szCs w:val="20"/>
                        </w:rPr>
                        <w:t xml:space="preserve"> celebration, total shares traded were still better than the previous week’s figure. Ghana Oil Company Limited (GOIL) recorded an approximate 10 million block trade last week to shoot market activities up considerably. A total of 12.75 million shares traded, and this represented an increase of 523.44% over its performance the week before. Similarly, corresponding value traded also increased by 334.90% to settle at GH¢17.96 million.</w:t>
                      </w:r>
                    </w:p>
                    <w:p w:rsidR="00D63994" w:rsidRPr="00D63994" w:rsidRDefault="00D63994" w:rsidP="00D63994">
                      <w:pPr>
                        <w:jc w:val="both"/>
                        <w:rPr>
                          <w:rFonts w:ascii="Tw Cen MT" w:eastAsia="Times New Roman" w:hAnsi="Tw Cen MT" w:cs="Times New Roman"/>
                          <w:sz w:val="20"/>
                          <w:szCs w:val="20"/>
                        </w:rPr>
                      </w:pPr>
                      <w:r w:rsidRPr="00D63994">
                        <w:rPr>
                          <w:rFonts w:ascii="Tw Cen MT" w:eastAsia="Times New Roman" w:hAnsi="Tw Cen MT" w:cs="Times New Roman"/>
                          <w:sz w:val="20"/>
                          <w:szCs w:val="20"/>
                        </w:rPr>
                        <w:t>As expected, GOIL emerged the most active stock in the week after contributing 79.05% and 78.53% of both volume and value traded.</w:t>
                      </w:r>
                    </w:p>
                    <w:p w:rsidR="009F755A" w:rsidRPr="00A27FEE" w:rsidRDefault="009F755A" w:rsidP="00A27FEE">
                      <w:pPr>
                        <w:rPr>
                          <w:szCs w:val="20"/>
                        </w:rPr>
                      </w:pPr>
                    </w:p>
                  </w:txbxContent>
                </v:textbox>
              </v:shape>
            </w:pict>
          </mc:Fallback>
        </mc:AlternateContent>
      </w:r>
    </w:p>
    <w:p w:rsidR="0023416D" w:rsidRPr="0023416D" w:rsidRDefault="00D63994" w:rsidP="00DA4B72">
      <w:pPr>
        <w:tabs>
          <w:tab w:val="left" w:pos="2550"/>
        </w:tabs>
        <w:rPr>
          <w:rFonts w:ascii="Tw Cen MT" w:hAnsi="Tw Cen MT"/>
        </w:rPr>
      </w:pPr>
      <w:r>
        <w:rPr>
          <w:rFonts w:ascii="Tw Cen MT" w:hAnsi="Tw Cen MT"/>
          <w:noProof/>
        </w:rPr>
        <mc:AlternateContent>
          <mc:Choice Requires="wps">
            <w:drawing>
              <wp:anchor distT="0" distB="0" distL="114300" distR="114300" simplePos="0" relativeHeight="251671552" behindDoc="0" locked="0" layoutInCell="1" allowOverlap="1" wp14:anchorId="1BD89665" wp14:editId="5F0E6194">
                <wp:simplePos x="0" y="0"/>
                <wp:positionH relativeFrom="column">
                  <wp:posOffset>3238500</wp:posOffset>
                </wp:positionH>
                <wp:positionV relativeFrom="paragraph">
                  <wp:posOffset>5080</wp:posOffset>
                </wp:positionV>
                <wp:extent cx="3448050" cy="2019300"/>
                <wp:effectExtent l="0" t="0"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55A" w:rsidRDefault="009F755A" w:rsidP="00C12078">
                            <w:pPr>
                              <w:jc w:val="center"/>
                              <w:rPr>
                                <w:rFonts w:ascii="Times New Roman" w:hAnsi="Times New Roman" w:cs="Times New Roman"/>
                                <w:b/>
                                <w:sz w:val="14"/>
                                <w:szCs w:val="16"/>
                              </w:rPr>
                            </w:pPr>
                            <w:r>
                              <w:rPr>
                                <w:noProof/>
                              </w:rPr>
                              <w:drawing>
                                <wp:inline distT="0" distB="0" distL="0" distR="0" wp14:anchorId="29658053" wp14:editId="35F8BFA7">
                                  <wp:extent cx="3267075" cy="19621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20BF7">
                              <w:rPr>
                                <w:rFonts w:ascii="Times New Roman" w:hAnsi="Times New Roman" w:cs="Times New Roman"/>
                                <w:b/>
                                <w:color w:val="5F497A" w:themeColor="accent4" w:themeShade="BF"/>
                                <w:sz w:val="14"/>
                                <w:szCs w:val="16"/>
                              </w:rPr>
                              <w:t xml:space="preserve"> </w:t>
                            </w:r>
                            <w:r w:rsidRPr="003C00A8">
                              <w:rPr>
                                <w:rFonts w:ascii="Times New Roman" w:hAnsi="Times New Roman" w:cs="Times New Roman"/>
                                <w:b/>
                                <w:color w:val="5F497A" w:themeColor="accent4" w:themeShade="BF"/>
                                <w:sz w:val="14"/>
                                <w:szCs w:val="16"/>
                              </w:rPr>
                              <w:t>Fig 1: Year</w:t>
                            </w:r>
                            <w:r>
                              <w:rPr>
                                <w:rFonts w:ascii="Times New Roman" w:hAnsi="Times New Roman" w:cs="Times New Roman"/>
                                <w:b/>
                                <w:color w:val="5F497A" w:themeColor="accent4" w:themeShade="BF"/>
                                <w:sz w:val="14"/>
                                <w:szCs w:val="16"/>
                              </w:rPr>
                              <w:t xml:space="preserve"> -to</w:t>
                            </w:r>
                            <w:r w:rsidRPr="003C00A8">
                              <w:rPr>
                                <w:rFonts w:ascii="Times New Roman" w:hAnsi="Times New Roman" w:cs="Times New Roman"/>
                                <w:b/>
                                <w:color w:val="5F497A" w:themeColor="accent4" w:themeShade="BF"/>
                                <w:sz w:val="14"/>
                                <w:szCs w:val="16"/>
                              </w:rPr>
                              <w:t xml:space="preserve"> -</w:t>
                            </w:r>
                            <w:r w:rsidRPr="00D75F4D">
                              <w:rPr>
                                <w:rFonts w:ascii="Times New Roman" w:hAnsi="Times New Roman" w:cs="Times New Roman"/>
                                <w:b/>
                                <w:color w:val="5F497A" w:themeColor="accent4" w:themeShade="BF"/>
                                <w:sz w:val="13"/>
                                <w:szCs w:val="13"/>
                              </w:rPr>
                              <w:t>date</w:t>
                            </w:r>
                            <w:r w:rsidRPr="003C00A8">
                              <w:rPr>
                                <w:rFonts w:ascii="Times New Roman" w:hAnsi="Times New Roman" w:cs="Times New Roman"/>
                                <w:b/>
                                <w:color w:val="5F497A" w:themeColor="accent4" w:themeShade="BF"/>
                                <w:sz w:val="14"/>
                                <w:szCs w:val="16"/>
                              </w:rPr>
                              <w:t xml:space="preserve"> returns</w:t>
                            </w:r>
                          </w:p>
                          <w:p w:rsidR="009F755A" w:rsidRPr="00DD0F9D" w:rsidRDefault="009F755A" w:rsidP="00C12078">
                            <w:pPr>
                              <w:jc w:val="center"/>
                              <w:rPr>
                                <w:rFonts w:ascii="Times New Roman" w:hAnsi="Times New Roman" w:cs="Times New Roman"/>
                                <w:b/>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255pt;margin-top:.4pt;width:271.5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V6hwIAABo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" stroked="f">
                <v:textbox>
                  <w:txbxContent>
                    <w:p w:rsidR="009F755A" w:rsidRDefault="009F755A" w:rsidP="00C12078">
                      <w:pPr>
                        <w:jc w:val="center"/>
                        <w:rPr>
                          <w:rFonts w:ascii="Times New Roman" w:hAnsi="Times New Roman" w:cs="Times New Roman"/>
                          <w:b/>
                          <w:sz w:val="14"/>
                          <w:szCs w:val="16"/>
                        </w:rPr>
                      </w:pPr>
                      <w:r>
                        <w:rPr>
                          <w:noProof/>
                        </w:rPr>
                        <w:drawing>
                          <wp:inline distT="0" distB="0" distL="0" distR="0" wp14:anchorId="29658053" wp14:editId="35F8BFA7">
                            <wp:extent cx="3267075" cy="19621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20BF7">
                        <w:rPr>
                          <w:rFonts w:ascii="Times New Roman" w:hAnsi="Times New Roman" w:cs="Times New Roman"/>
                          <w:b/>
                          <w:color w:val="5F497A" w:themeColor="accent4" w:themeShade="BF"/>
                          <w:sz w:val="14"/>
                          <w:szCs w:val="16"/>
                        </w:rPr>
                        <w:t xml:space="preserve"> </w:t>
                      </w:r>
                      <w:r w:rsidRPr="003C00A8">
                        <w:rPr>
                          <w:rFonts w:ascii="Times New Roman" w:hAnsi="Times New Roman" w:cs="Times New Roman"/>
                          <w:b/>
                          <w:color w:val="5F497A" w:themeColor="accent4" w:themeShade="BF"/>
                          <w:sz w:val="14"/>
                          <w:szCs w:val="16"/>
                        </w:rPr>
                        <w:t>Fig 1: Year</w:t>
                      </w:r>
                      <w:r>
                        <w:rPr>
                          <w:rFonts w:ascii="Times New Roman" w:hAnsi="Times New Roman" w:cs="Times New Roman"/>
                          <w:b/>
                          <w:color w:val="5F497A" w:themeColor="accent4" w:themeShade="BF"/>
                          <w:sz w:val="14"/>
                          <w:szCs w:val="16"/>
                        </w:rPr>
                        <w:t xml:space="preserve"> -to</w:t>
                      </w:r>
                      <w:r w:rsidRPr="003C00A8">
                        <w:rPr>
                          <w:rFonts w:ascii="Times New Roman" w:hAnsi="Times New Roman" w:cs="Times New Roman"/>
                          <w:b/>
                          <w:color w:val="5F497A" w:themeColor="accent4" w:themeShade="BF"/>
                          <w:sz w:val="14"/>
                          <w:szCs w:val="16"/>
                        </w:rPr>
                        <w:t xml:space="preserve"> -</w:t>
                      </w:r>
                      <w:r w:rsidRPr="00D75F4D">
                        <w:rPr>
                          <w:rFonts w:ascii="Times New Roman" w:hAnsi="Times New Roman" w:cs="Times New Roman"/>
                          <w:b/>
                          <w:color w:val="5F497A" w:themeColor="accent4" w:themeShade="BF"/>
                          <w:sz w:val="13"/>
                          <w:szCs w:val="13"/>
                        </w:rPr>
                        <w:t>date</w:t>
                      </w:r>
                      <w:r w:rsidRPr="003C00A8">
                        <w:rPr>
                          <w:rFonts w:ascii="Times New Roman" w:hAnsi="Times New Roman" w:cs="Times New Roman"/>
                          <w:b/>
                          <w:color w:val="5F497A" w:themeColor="accent4" w:themeShade="BF"/>
                          <w:sz w:val="14"/>
                          <w:szCs w:val="16"/>
                        </w:rPr>
                        <w:t xml:space="preserve"> returns</w:t>
                      </w:r>
                    </w:p>
                    <w:p w:rsidR="009F755A" w:rsidRPr="00DD0F9D" w:rsidRDefault="009F755A" w:rsidP="00C12078">
                      <w:pPr>
                        <w:jc w:val="center"/>
                        <w:rPr>
                          <w:rFonts w:ascii="Times New Roman" w:hAnsi="Times New Roman" w:cs="Times New Roman"/>
                          <w:b/>
                          <w:sz w:val="14"/>
                          <w:szCs w:val="16"/>
                        </w:rPr>
                      </w:pPr>
                    </w:p>
                  </w:txbxContent>
                </v:textbox>
              </v:shape>
            </w:pict>
          </mc:Fallback>
        </mc:AlternateContent>
      </w:r>
      <w:r w:rsidR="00DA4B72">
        <w:rPr>
          <w:rFonts w:ascii="Tw Cen MT" w:hAnsi="Tw Cen MT"/>
        </w:rPr>
        <w:tab/>
      </w:r>
    </w:p>
    <w:p w:rsidR="0023416D" w:rsidRPr="0079628B" w:rsidRDefault="0023416D" w:rsidP="0023416D">
      <w:pPr>
        <w:rPr>
          <w:rFonts w:ascii="Tw Cen MT" w:hAnsi="Tw Cen MT"/>
        </w:rPr>
      </w:pPr>
    </w:p>
    <w:p w:rsidR="00E50514" w:rsidRDefault="00E50514" w:rsidP="0023416D">
      <w:pPr>
        <w:rPr>
          <w:rFonts w:ascii="Tw Cen MT" w:hAnsi="Tw Cen MT"/>
        </w:rPr>
      </w:pPr>
    </w:p>
    <w:p w:rsidR="00E50514" w:rsidRDefault="00E50514" w:rsidP="0023416D">
      <w:pPr>
        <w:rPr>
          <w:rFonts w:ascii="Tw Cen MT" w:hAnsi="Tw Cen MT"/>
        </w:rPr>
      </w:pPr>
    </w:p>
    <w:p w:rsidR="0023416D" w:rsidRDefault="0023416D" w:rsidP="0023416D">
      <w:pPr>
        <w:rPr>
          <w:rFonts w:ascii="Tw Cen MT" w:hAnsi="Tw Cen MT"/>
        </w:rPr>
      </w:pPr>
    </w:p>
    <w:p w:rsidR="00DC19E8" w:rsidRDefault="0023416D" w:rsidP="0023416D">
      <w:pPr>
        <w:tabs>
          <w:tab w:val="left" w:pos="7803"/>
        </w:tabs>
        <w:rPr>
          <w:rFonts w:ascii="Tw Cen MT" w:hAnsi="Tw Cen MT"/>
        </w:rPr>
      </w:pPr>
      <w:r>
        <w:rPr>
          <w:rFonts w:ascii="Tw Cen MT" w:hAnsi="Tw Cen MT"/>
        </w:rPr>
        <w:tab/>
      </w:r>
    </w:p>
    <w:p w:rsidR="0023416D" w:rsidRDefault="00D63994" w:rsidP="0023416D">
      <w:pPr>
        <w:tabs>
          <w:tab w:val="left" w:pos="7803"/>
        </w:tabs>
        <w:rPr>
          <w:rFonts w:ascii="Tw Cen MT" w:hAnsi="Tw Cen MT"/>
        </w:rPr>
      </w:pPr>
      <w:r>
        <w:rPr>
          <w:rFonts w:ascii="Tw Cen MT" w:hAnsi="Tw Cen MT"/>
          <w:noProof/>
        </w:rPr>
        <w:lastRenderedPageBreak/>
        <mc:AlternateContent>
          <mc:Choice Requires="wps">
            <w:drawing>
              <wp:anchor distT="0" distB="0" distL="114300" distR="114300" simplePos="0" relativeHeight="251641856" behindDoc="0" locked="0" layoutInCell="1" allowOverlap="1" wp14:anchorId="38A1984B" wp14:editId="2A5C5827">
                <wp:simplePos x="0" y="0"/>
                <wp:positionH relativeFrom="column">
                  <wp:posOffset>-752475</wp:posOffset>
                </wp:positionH>
                <wp:positionV relativeFrom="paragraph">
                  <wp:posOffset>-490855</wp:posOffset>
                </wp:positionV>
                <wp:extent cx="3867150" cy="5467350"/>
                <wp:effectExtent l="0" t="0" r="0" b="0"/>
                <wp:wrapNone/>
                <wp:docPr id="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546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994" w:rsidRPr="00C824A8" w:rsidRDefault="00D63994" w:rsidP="00D63994">
                            <w:pPr>
                              <w:jc w:val="both"/>
                              <w:rPr>
                                <w:rFonts w:ascii="Tw Cen MT" w:eastAsia="Times New Roman" w:hAnsi="Tw Cen MT" w:cs="Times New Roman"/>
                                <w:b/>
                                <w:i/>
                                <w:color w:val="5F497A" w:themeColor="accent4" w:themeShade="BF"/>
                                <w:sz w:val="20"/>
                                <w:szCs w:val="20"/>
                              </w:rPr>
                            </w:pPr>
                            <w:r w:rsidRPr="00C824A8">
                              <w:rPr>
                                <w:rFonts w:ascii="Tw Cen MT" w:eastAsia="Times New Roman" w:hAnsi="Tw Cen MT" w:cs="Times New Roman"/>
                                <w:b/>
                                <w:i/>
                                <w:color w:val="5F497A" w:themeColor="accent4" w:themeShade="BF"/>
                                <w:sz w:val="20"/>
                                <w:szCs w:val="20"/>
                              </w:rPr>
                              <w:t>BOPP dips to GH¢4.00</w:t>
                            </w:r>
                          </w:p>
                          <w:p w:rsidR="00D63994" w:rsidRPr="00D63994" w:rsidRDefault="00D63994" w:rsidP="00D63994">
                            <w:pPr>
                              <w:jc w:val="both"/>
                              <w:rPr>
                                <w:rFonts w:ascii="Tw Cen MT" w:eastAsia="Times New Roman" w:hAnsi="Tw Cen MT" w:cs="Times New Roman"/>
                                <w:sz w:val="20"/>
                                <w:szCs w:val="20"/>
                                <w:lang w:val="en-GB"/>
                              </w:rPr>
                            </w:pPr>
                            <w:r w:rsidRPr="00D63994">
                              <w:rPr>
                                <w:rFonts w:ascii="Tw Cen MT" w:eastAsia="Times New Roman" w:hAnsi="Tw Cen MT" w:cs="Times New Roman"/>
                                <w:sz w:val="20"/>
                                <w:szCs w:val="20"/>
                                <w:lang w:val="en-GB"/>
                              </w:rPr>
                              <w:t xml:space="preserve">The share price of Benso Oil Palm Plantation (BOPP) touched GH¢4.00 per share from a week opening price of GH¢4.16 last week, being the stock’s lowest selling price on the exchange since November last year. The drop in the Oil-giants price appeared to have been caused by the company’s half-year performance released a few weeks ago. </w:t>
                            </w:r>
                          </w:p>
                          <w:p w:rsidR="00D63994" w:rsidRPr="00D63994" w:rsidRDefault="00D63994" w:rsidP="00D63994">
                            <w:pPr>
                              <w:jc w:val="both"/>
                              <w:rPr>
                                <w:rFonts w:ascii="Tw Cen MT" w:eastAsia="Times New Roman" w:hAnsi="Tw Cen MT" w:cs="Times New Roman"/>
                                <w:sz w:val="20"/>
                                <w:szCs w:val="20"/>
                                <w:lang w:val="en-GB"/>
                              </w:rPr>
                            </w:pPr>
                            <w:r w:rsidRPr="00D63994">
                              <w:rPr>
                                <w:rFonts w:ascii="Tw Cen MT" w:eastAsia="Times New Roman" w:hAnsi="Tw Cen MT" w:cs="Times New Roman"/>
                                <w:sz w:val="20"/>
                                <w:szCs w:val="20"/>
                                <w:lang w:val="en-GB"/>
                              </w:rPr>
                              <w:t>BOPP’s half-year results was disappointing when compared to the same period last year, though the company’s revenue improved to GH¢30.61 million from GH¢29.63 million within the period, its net profit after tax dropped to GH¢4.36 million compared to the GH¢7.15 million recorded the same period in the previous year.</w:t>
                            </w:r>
                          </w:p>
                          <w:p w:rsidR="00D63994" w:rsidRPr="00D63994" w:rsidRDefault="00D63994" w:rsidP="00D63994">
                            <w:pPr>
                              <w:jc w:val="both"/>
                              <w:rPr>
                                <w:rFonts w:ascii="Tw Cen MT" w:eastAsia="Times New Roman" w:hAnsi="Tw Cen MT" w:cs="Times New Roman"/>
                                <w:sz w:val="20"/>
                                <w:szCs w:val="20"/>
                              </w:rPr>
                            </w:pPr>
                            <w:r w:rsidRPr="00D63994">
                              <w:rPr>
                                <w:rFonts w:ascii="Tw Cen MT" w:eastAsia="Times New Roman" w:hAnsi="Tw Cen MT" w:cs="Times New Roman"/>
                                <w:sz w:val="20"/>
                                <w:szCs w:val="20"/>
                              </w:rPr>
                              <w:t>In fact, market participants appeared worried about the trend of performance, as they bid-down the value of the company’s share price below its year-open price of GH¢4.10 and year-to-date average trading price of GH¢4.48 per share.</w:t>
                            </w:r>
                          </w:p>
                          <w:p w:rsidR="00D63994" w:rsidRPr="00D63994" w:rsidRDefault="00D63994" w:rsidP="00D63994">
                            <w:pPr>
                              <w:jc w:val="both"/>
                              <w:rPr>
                                <w:rFonts w:ascii="Tw Cen MT" w:eastAsia="Times New Roman" w:hAnsi="Tw Cen MT" w:cs="Times New Roman"/>
                                <w:b/>
                                <w:i/>
                                <w:sz w:val="20"/>
                                <w:szCs w:val="20"/>
                              </w:rPr>
                            </w:pPr>
                          </w:p>
                          <w:p w:rsidR="00D63994" w:rsidRPr="00C824A8" w:rsidRDefault="00D63994" w:rsidP="00D63994">
                            <w:pPr>
                              <w:jc w:val="both"/>
                              <w:rPr>
                                <w:rFonts w:ascii="Tw Cen MT" w:eastAsia="Times New Roman" w:hAnsi="Tw Cen MT" w:cs="Times New Roman"/>
                                <w:b/>
                                <w:i/>
                                <w:color w:val="5F497A" w:themeColor="accent4" w:themeShade="BF"/>
                                <w:sz w:val="20"/>
                                <w:szCs w:val="20"/>
                              </w:rPr>
                            </w:pPr>
                            <w:r w:rsidRPr="00C824A8">
                              <w:rPr>
                                <w:rFonts w:ascii="Tw Cen MT" w:eastAsia="Times New Roman" w:hAnsi="Tw Cen MT" w:cs="Times New Roman"/>
                                <w:b/>
                                <w:i/>
                                <w:color w:val="5F497A" w:themeColor="accent4" w:themeShade="BF"/>
                                <w:sz w:val="20"/>
                                <w:szCs w:val="20"/>
                              </w:rPr>
                              <w:t xml:space="preserve">GCB’s slips on profit-taking </w:t>
                            </w:r>
                          </w:p>
                          <w:p w:rsidR="00D63994" w:rsidRPr="00D63994" w:rsidRDefault="00D63994" w:rsidP="00D63994">
                            <w:pPr>
                              <w:jc w:val="both"/>
                              <w:rPr>
                                <w:rFonts w:ascii="Tw Cen MT" w:eastAsia="Times New Roman" w:hAnsi="Tw Cen MT" w:cs="Times New Roman"/>
                                <w:i/>
                                <w:sz w:val="20"/>
                                <w:szCs w:val="20"/>
                              </w:rPr>
                            </w:pPr>
                            <w:r w:rsidRPr="00D63994">
                              <w:rPr>
                                <w:rFonts w:ascii="Tw Cen MT" w:eastAsia="Times New Roman" w:hAnsi="Tw Cen MT" w:cs="Times New Roman"/>
                                <w:sz w:val="20"/>
                                <w:szCs w:val="20"/>
                              </w:rPr>
                              <w:t xml:space="preserve">GCB Bank Limited (GCB) shares emerged the worst performing stock on the Exchange, after losing 21-pesewas of its market value last week. </w:t>
                            </w:r>
                          </w:p>
                          <w:p w:rsidR="00D63994" w:rsidRPr="00D63994" w:rsidRDefault="00D63994" w:rsidP="00D63994">
                            <w:pPr>
                              <w:jc w:val="both"/>
                              <w:rPr>
                                <w:rFonts w:ascii="Tw Cen MT" w:eastAsia="Calibri" w:hAnsi="Tw Cen MT" w:cs="Times New Roman"/>
                                <w:bCs/>
                                <w:sz w:val="20"/>
                                <w:szCs w:val="20"/>
                                <w:lang w:val="en-GB"/>
                              </w:rPr>
                            </w:pPr>
                            <w:r w:rsidRPr="00D63994">
                              <w:rPr>
                                <w:rFonts w:ascii="Tw Cen MT" w:eastAsia="Calibri" w:hAnsi="Tw Cen MT" w:cs="Times New Roman"/>
                                <w:bCs/>
                                <w:sz w:val="20"/>
                                <w:szCs w:val="20"/>
                                <w:lang w:val="en-GB"/>
                              </w:rPr>
                              <w:t xml:space="preserve">Even though, the Bank’s half-year 2015 (HY’15) result was better-than-expected, investors still bid-down the Bank’s value over what appeared to be intense profit-taking by shareholders. </w:t>
                            </w:r>
                          </w:p>
                          <w:p w:rsidR="00D63994" w:rsidRPr="00D63994" w:rsidRDefault="00D63994" w:rsidP="00D63994">
                            <w:pPr>
                              <w:jc w:val="both"/>
                              <w:rPr>
                                <w:rFonts w:ascii="Tw Cen MT" w:eastAsia="Calibri" w:hAnsi="Tw Cen MT" w:cs="Times New Roman"/>
                                <w:bCs/>
                                <w:sz w:val="20"/>
                                <w:szCs w:val="20"/>
                                <w:lang w:val="en-GB"/>
                              </w:rPr>
                            </w:pPr>
                            <w:r w:rsidRPr="00D63994">
                              <w:rPr>
                                <w:rFonts w:ascii="Tw Cen MT" w:eastAsia="Calibri" w:hAnsi="Tw Cen MT" w:cs="Times New Roman"/>
                                <w:bCs/>
                                <w:sz w:val="20"/>
                                <w:szCs w:val="20"/>
                                <w:lang w:val="en-GB"/>
                              </w:rPr>
                              <w:t>In the long run, GCB’s share price dropped from the GH¢3.90 in the previous week to GH¢3.69 per share last week. Nonetheless, the propensity of an upward price correction appears promising as the Bank currently trades far below the year’s average price of GH¢5.08 per share and at a price-to-book ratio of 1x.</w:t>
                            </w:r>
                          </w:p>
                          <w:p w:rsidR="009F755A" w:rsidRDefault="009F755A" w:rsidP="00951FA4">
                            <w:pPr>
                              <w:jc w:val="both"/>
                              <w:rPr>
                                <w:rFonts w:ascii="Tw Cen MT" w:hAnsi="Tw Cen MT"/>
                                <w:sz w:val="20"/>
                                <w:szCs w:val="20"/>
                              </w:rPr>
                            </w:pPr>
                          </w:p>
                          <w:p w:rsidR="009F755A" w:rsidRPr="002278A0" w:rsidRDefault="009F755A" w:rsidP="002278A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8" type="#_x0000_t202" style="position:absolute;margin-left:-59.25pt;margin-top:-38.65pt;width:304.5pt;height:43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hwIAABo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" stroked="f">
                <v:textbox>
                  <w:txbxContent>
                    <w:p w:rsidR="00D63994" w:rsidRPr="00C824A8" w:rsidRDefault="00D63994" w:rsidP="00D63994">
                      <w:pPr>
                        <w:jc w:val="both"/>
                        <w:rPr>
                          <w:rFonts w:ascii="Tw Cen MT" w:eastAsia="Times New Roman" w:hAnsi="Tw Cen MT" w:cs="Times New Roman"/>
                          <w:b/>
                          <w:i/>
                          <w:color w:val="5F497A" w:themeColor="accent4" w:themeShade="BF"/>
                          <w:sz w:val="20"/>
                          <w:szCs w:val="20"/>
                        </w:rPr>
                      </w:pPr>
                      <w:r w:rsidRPr="00C824A8">
                        <w:rPr>
                          <w:rFonts w:ascii="Tw Cen MT" w:eastAsia="Times New Roman" w:hAnsi="Tw Cen MT" w:cs="Times New Roman"/>
                          <w:b/>
                          <w:i/>
                          <w:color w:val="5F497A" w:themeColor="accent4" w:themeShade="BF"/>
                          <w:sz w:val="20"/>
                          <w:szCs w:val="20"/>
                        </w:rPr>
                        <w:t>BOPP dips to GH¢4.00</w:t>
                      </w:r>
                    </w:p>
                    <w:p w:rsidR="00D63994" w:rsidRPr="00D63994" w:rsidRDefault="00D63994" w:rsidP="00D63994">
                      <w:pPr>
                        <w:jc w:val="both"/>
                        <w:rPr>
                          <w:rFonts w:ascii="Tw Cen MT" w:eastAsia="Times New Roman" w:hAnsi="Tw Cen MT" w:cs="Times New Roman"/>
                          <w:sz w:val="20"/>
                          <w:szCs w:val="20"/>
                          <w:lang w:val="en-GB"/>
                        </w:rPr>
                      </w:pPr>
                      <w:r w:rsidRPr="00D63994">
                        <w:rPr>
                          <w:rFonts w:ascii="Tw Cen MT" w:eastAsia="Times New Roman" w:hAnsi="Tw Cen MT" w:cs="Times New Roman"/>
                          <w:sz w:val="20"/>
                          <w:szCs w:val="20"/>
                          <w:lang w:val="en-GB"/>
                        </w:rPr>
                        <w:t xml:space="preserve">The share price of Benso Oil Palm Plantation (BOPP) touched GH¢4.00 per share from a week opening price of GH¢4.16 last week, being the stock’s lowest selling price on the exchange since November last year. The drop in the Oil-giants price appeared to have been caused by the company’s half-year performance released a few weeks ago. </w:t>
                      </w:r>
                    </w:p>
                    <w:p w:rsidR="00D63994" w:rsidRPr="00D63994" w:rsidRDefault="00D63994" w:rsidP="00D63994">
                      <w:pPr>
                        <w:jc w:val="both"/>
                        <w:rPr>
                          <w:rFonts w:ascii="Tw Cen MT" w:eastAsia="Times New Roman" w:hAnsi="Tw Cen MT" w:cs="Times New Roman"/>
                          <w:sz w:val="20"/>
                          <w:szCs w:val="20"/>
                          <w:lang w:val="en-GB"/>
                        </w:rPr>
                      </w:pPr>
                      <w:r w:rsidRPr="00D63994">
                        <w:rPr>
                          <w:rFonts w:ascii="Tw Cen MT" w:eastAsia="Times New Roman" w:hAnsi="Tw Cen MT" w:cs="Times New Roman"/>
                          <w:sz w:val="20"/>
                          <w:szCs w:val="20"/>
                          <w:lang w:val="en-GB"/>
                        </w:rPr>
                        <w:t>BOPP’s half-year results was disappointing when compared to the same period last year, though the company’s revenue improved to GH¢30.61 million from GH¢29.63 million within the period, its net profit after tax dropped to GH¢4.36 million compared to the GH¢7.15 million recorded the same period in the previous year.</w:t>
                      </w:r>
                    </w:p>
                    <w:p w:rsidR="00D63994" w:rsidRPr="00D63994" w:rsidRDefault="00D63994" w:rsidP="00D63994">
                      <w:pPr>
                        <w:jc w:val="both"/>
                        <w:rPr>
                          <w:rFonts w:ascii="Tw Cen MT" w:eastAsia="Times New Roman" w:hAnsi="Tw Cen MT" w:cs="Times New Roman"/>
                          <w:sz w:val="20"/>
                          <w:szCs w:val="20"/>
                        </w:rPr>
                      </w:pPr>
                      <w:r w:rsidRPr="00D63994">
                        <w:rPr>
                          <w:rFonts w:ascii="Tw Cen MT" w:eastAsia="Times New Roman" w:hAnsi="Tw Cen MT" w:cs="Times New Roman"/>
                          <w:sz w:val="20"/>
                          <w:szCs w:val="20"/>
                        </w:rPr>
                        <w:t>In fact, market participants appeared worried about the trend of performance, as they bid-down the value of the company’s share price below its year-open price of GH¢4.10 and year-to-date average trading price of GH¢4.48 per share.</w:t>
                      </w:r>
                    </w:p>
                    <w:p w:rsidR="00D63994" w:rsidRPr="00D63994" w:rsidRDefault="00D63994" w:rsidP="00D63994">
                      <w:pPr>
                        <w:jc w:val="both"/>
                        <w:rPr>
                          <w:rFonts w:ascii="Tw Cen MT" w:eastAsia="Times New Roman" w:hAnsi="Tw Cen MT" w:cs="Times New Roman"/>
                          <w:b/>
                          <w:i/>
                          <w:sz w:val="20"/>
                          <w:szCs w:val="20"/>
                        </w:rPr>
                      </w:pPr>
                    </w:p>
                    <w:p w:rsidR="00D63994" w:rsidRPr="00C824A8" w:rsidRDefault="00D63994" w:rsidP="00D63994">
                      <w:pPr>
                        <w:jc w:val="both"/>
                        <w:rPr>
                          <w:rFonts w:ascii="Tw Cen MT" w:eastAsia="Times New Roman" w:hAnsi="Tw Cen MT" w:cs="Times New Roman"/>
                          <w:b/>
                          <w:i/>
                          <w:color w:val="5F497A" w:themeColor="accent4" w:themeShade="BF"/>
                          <w:sz w:val="20"/>
                          <w:szCs w:val="20"/>
                        </w:rPr>
                      </w:pPr>
                      <w:r w:rsidRPr="00C824A8">
                        <w:rPr>
                          <w:rFonts w:ascii="Tw Cen MT" w:eastAsia="Times New Roman" w:hAnsi="Tw Cen MT" w:cs="Times New Roman"/>
                          <w:b/>
                          <w:i/>
                          <w:color w:val="5F497A" w:themeColor="accent4" w:themeShade="BF"/>
                          <w:sz w:val="20"/>
                          <w:szCs w:val="20"/>
                        </w:rPr>
                        <w:t xml:space="preserve">GCB’s slips on profit-taking </w:t>
                      </w:r>
                    </w:p>
                    <w:p w:rsidR="00D63994" w:rsidRPr="00D63994" w:rsidRDefault="00D63994" w:rsidP="00D63994">
                      <w:pPr>
                        <w:jc w:val="both"/>
                        <w:rPr>
                          <w:rFonts w:ascii="Tw Cen MT" w:eastAsia="Times New Roman" w:hAnsi="Tw Cen MT" w:cs="Times New Roman"/>
                          <w:i/>
                          <w:sz w:val="20"/>
                          <w:szCs w:val="20"/>
                        </w:rPr>
                      </w:pPr>
                      <w:r w:rsidRPr="00D63994">
                        <w:rPr>
                          <w:rFonts w:ascii="Tw Cen MT" w:eastAsia="Times New Roman" w:hAnsi="Tw Cen MT" w:cs="Times New Roman"/>
                          <w:sz w:val="20"/>
                          <w:szCs w:val="20"/>
                        </w:rPr>
                        <w:t xml:space="preserve">GCB Bank Limited (GCB) shares emerged the worst performing stock on the Exchange, after losing 21-pesewas of its market value last week. </w:t>
                      </w:r>
                    </w:p>
                    <w:p w:rsidR="00D63994" w:rsidRPr="00D63994" w:rsidRDefault="00D63994" w:rsidP="00D63994">
                      <w:pPr>
                        <w:jc w:val="both"/>
                        <w:rPr>
                          <w:rFonts w:ascii="Tw Cen MT" w:eastAsia="Calibri" w:hAnsi="Tw Cen MT" w:cs="Times New Roman"/>
                          <w:bCs/>
                          <w:sz w:val="20"/>
                          <w:szCs w:val="20"/>
                          <w:lang w:val="en-GB"/>
                        </w:rPr>
                      </w:pPr>
                      <w:r w:rsidRPr="00D63994">
                        <w:rPr>
                          <w:rFonts w:ascii="Tw Cen MT" w:eastAsia="Calibri" w:hAnsi="Tw Cen MT" w:cs="Times New Roman"/>
                          <w:bCs/>
                          <w:sz w:val="20"/>
                          <w:szCs w:val="20"/>
                          <w:lang w:val="en-GB"/>
                        </w:rPr>
                        <w:t xml:space="preserve">Even though, the Bank’s half-year 2015 (HY’15) result was better-than-expected, investors still bid-down the Bank’s value over what appeared to be intense profit-taking by shareholders. </w:t>
                      </w:r>
                    </w:p>
                    <w:p w:rsidR="00D63994" w:rsidRPr="00D63994" w:rsidRDefault="00D63994" w:rsidP="00D63994">
                      <w:pPr>
                        <w:jc w:val="both"/>
                        <w:rPr>
                          <w:rFonts w:ascii="Tw Cen MT" w:eastAsia="Calibri" w:hAnsi="Tw Cen MT" w:cs="Times New Roman"/>
                          <w:bCs/>
                          <w:sz w:val="20"/>
                          <w:szCs w:val="20"/>
                          <w:lang w:val="en-GB"/>
                        </w:rPr>
                      </w:pPr>
                      <w:r w:rsidRPr="00D63994">
                        <w:rPr>
                          <w:rFonts w:ascii="Tw Cen MT" w:eastAsia="Calibri" w:hAnsi="Tw Cen MT" w:cs="Times New Roman"/>
                          <w:bCs/>
                          <w:sz w:val="20"/>
                          <w:szCs w:val="20"/>
                          <w:lang w:val="en-GB"/>
                        </w:rPr>
                        <w:t>In the long run, GCB’s share price dropped from the GH¢3.90 in the previous week to GH¢3.69 per share last week. Nonetheless, the propensity of an upward price correction appears promising as the Bank currently trades far below the year’s average price of GH¢5.08 per share and at a price-to-book ratio of 1x.</w:t>
                      </w:r>
                    </w:p>
                    <w:p w:rsidR="009F755A" w:rsidRDefault="009F755A" w:rsidP="00951FA4">
                      <w:pPr>
                        <w:jc w:val="both"/>
                        <w:rPr>
                          <w:rFonts w:ascii="Tw Cen MT" w:hAnsi="Tw Cen MT"/>
                          <w:sz w:val="20"/>
                          <w:szCs w:val="20"/>
                        </w:rPr>
                      </w:pPr>
                    </w:p>
                    <w:p w:rsidR="009F755A" w:rsidRPr="002278A0" w:rsidRDefault="009F755A" w:rsidP="002278A0">
                      <w:pPr>
                        <w:rPr>
                          <w:szCs w:val="20"/>
                        </w:rPr>
                      </w:pPr>
                    </w:p>
                  </w:txbxContent>
                </v:textbox>
              </v:shape>
            </w:pict>
          </mc:Fallback>
        </mc:AlternateContent>
      </w:r>
      <w:r w:rsidR="00405B5E">
        <w:rPr>
          <w:rFonts w:ascii="Tw Cen MT" w:hAnsi="Tw Cen MT"/>
          <w:noProof/>
        </w:rPr>
        <mc:AlternateContent>
          <mc:Choice Requires="wps">
            <w:drawing>
              <wp:anchor distT="0" distB="0" distL="114300" distR="114300" simplePos="0" relativeHeight="251642880" behindDoc="0" locked="0" layoutInCell="1" allowOverlap="1" wp14:anchorId="5AA38D0C" wp14:editId="4F66DFB9">
                <wp:simplePos x="0" y="0"/>
                <wp:positionH relativeFrom="column">
                  <wp:posOffset>3352800</wp:posOffset>
                </wp:positionH>
                <wp:positionV relativeFrom="paragraph">
                  <wp:posOffset>-767080</wp:posOffset>
                </wp:positionV>
                <wp:extent cx="3286125" cy="1847850"/>
                <wp:effectExtent l="0" t="0" r="28575" b="1905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847850"/>
                        </a:xfrm>
                        <a:prstGeom prst="rect">
                          <a:avLst/>
                        </a:prstGeom>
                        <a:solidFill>
                          <a:srgbClr val="FFFFFF"/>
                        </a:solidFill>
                        <a:ln w="9525">
                          <a:solidFill>
                            <a:schemeClr val="bg1">
                              <a:lumMod val="100000"/>
                              <a:lumOff val="0"/>
                            </a:schemeClr>
                          </a:solidFill>
                          <a:miter lim="800000"/>
                          <a:headEnd/>
                          <a:tailEnd/>
                        </a:ln>
                      </wps:spPr>
                      <wps:txbx>
                        <w:txbxContent>
                          <w:tbl>
                            <w:tblPr>
                              <w:tblStyle w:val="LightShading-Accent4"/>
                              <w:tblW w:w="5026" w:type="dxa"/>
                              <w:tblLook w:val="04A0" w:firstRow="1" w:lastRow="0" w:firstColumn="1" w:lastColumn="0" w:noHBand="0" w:noVBand="1"/>
                            </w:tblPr>
                            <w:tblGrid>
                              <w:gridCol w:w="1058"/>
                              <w:gridCol w:w="1058"/>
                              <w:gridCol w:w="1058"/>
                              <w:gridCol w:w="1031"/>
                              <w:gridCol w:w="848"/>
                            </w:tblGrid>
                            <w:tr w:rsidR="009F755A" w:rsidRPr="004E1528" w:rsidTr="00E50514">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hideMark/>
                                </w:tcPr>
                                <w:p w:rsidR="009F755A" w:rsidRPr="00CF733C" w:rsidRDefault="009F755A" w:rsidP="008C4692">
                                  <w:pPr>
                                    <w:spacing w:before="40" w:after="40"/>
                                    <w:jc w:val="center"/>
                                    <w:rPr>
                                      <w:rFonts w:ascii="Arial" w:eastAsia="Times New Roman" w:hAnsi="Arial" w:cs="Arial"/>
                                      <w:sz w:val="16"/>
                                      <w:szCs w:val="16"/>
                                    </w:rPr>
                                  </w:pPr>
                                  <w:r w:rsidRPr="00CF733C">
                                    <w:rPr>
                                      <w:rFonts w:ascii="Arial" w:eastAsia="Times New Roman" w:hAnsi="Arial" w:cs="Arial"/>
                                      <w:sz w:val="16"/>
                                      <w:szCs w:val="16"/>
                                    </w:rPr>
                                    <w:t>STOCK TICKER</w:t>
                                  </w:r>
                                </w:p>
                              </w:tc>
                              <w:tc>
                                <w:tcPr>
                                  <w:tcW w:w="1058" w:type="dxa"/>
                                  <w:noWrap/>
                                  <w:hideMark/>
                                </w:tcPr>
                                <w:p w:rsidR="009F755A" w:rsidRPr="00CF733C" w:rsidRDefault="009F755A" w:rsidP="008C4692">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 xml:space="preserve"> </w:t>
                                  </w:r>
                                  <w:proofErr w:type="spellStart"/>
                                  <w:r w:rsidRPr="00CF733C">
                                    <w:rPr>
                                      <w:rFonts w:ascii="Arial" w:eastAsia="Times New Roman" w:hAnsi="Arial" w:cs="Arial"/>
                                      <w:sz w:val="16"/>
                                      <w:szCs w:val="16"/>
                                    </w:rPr>
                                    <w:t>Wk</w:t>
                                  </w:r>
                                  <w:proofErr w:type="spellEnd"/>
                                  <w:r w:rsidRPr="00CF733C">
                                    <w:rPr>
                                      <w:rFonts w:ascii="Arial" w:eastAsia="Times New Roman" w:hAnsi="Arial" w:cs="Arial"/>
                                      <w:sz w:val="16"/>
                                      <w:szCs w:val="16"/>
                                    </w:rPr>
                                    <w:t xml:space="preserve"> Open </w:t>
                                  </w:r>
                                </w:p>
                              </w:tc>
                              <w:tc>
                                <w:tcPr>
                                  <w:tcW w:w="1058" w:type="dxa"/>
                                  <w:noWrap/>
                                  <w:hideMark/>
                                </w:tcPr>
                                <w:p w:rsidR="009F755A" w:rsidRPr="00CF733C" w:rsidRDefault="009F755A" w:rsidP="008C4692">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 xml:space="preserve"> </w:t>
                                  </w:r>
                                  <w:proofErr w:type="spellStart"/>
                                  <w:r w:rsidRPr="00CF733C">
                                    <w:rPr>
                                      <w:rFonts w:ascii="Arial" w:eastAsia="Times New Roman" w:hAnsi="Arial" w:cs="Arial"/>
                                      <w:sz w:val="16"/>
                                      <w:szCs w:val="16"/>
                                    </w:rPr>
                                    <w:t>Wk</w:t>
                                  </w:r>
                                  <w:proofErr w:type="spellEnd"/>
                                  <w:r w:rsidRPr="00CF733C">
                                    <w:rPr>
                                      <w:rFonts w:ascii="Arial" w:eastAsia="Times New Roman" w:hAnsi="Arial" w:cs="Arial"/>
                                      <w:sz w:val="16"/>
                                      <w:szCs w:val="16"/>
                                    </w:rPr>
                                    <w:t xml:space="preserve"> End </w:t>
                                  </w:r>
                                </w:p>
                              </w:tc>
                              <w:tc>
                                <w:tcPr>
                                  <w:tcW w:w="1031" w:type="dxa"/>
                                  <w:noWrap/>
                                  <w:hideMark/>
                                </w:tcPr>
                                <w:p w:rsidR="009F755A" w:rsidRPr="00CF733C" w:rsidRDefault="009F755A" w:rsidP="008C4692">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Change</w:t>
                                  </w:r>
                                </w:p>
                              </w:tc>
                              <w:tc>
                                <w:tcPr>
                                  <w:tcW w:w="821" w:type="dxa"/>
                                  <w:noWrap/>
                                  <w:hideMark/>
                                </w:tcPr>
                                <w:p w:rsidR="009F755A" w:rsidRPr="00CF733C" w:rsidRDefault="009F755A" w:rsidP="008C4692">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 change</w:t>
                                  </w:r>
                                </w:p>
                              </w:tc>
                            </w:tr>
                            <w:tr w:rsidR="00405B5E" w:rsidRPr="004E1528" w:rsidTr="00F5437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pPr>
                                    <w:jc w:val="center"/>
                                    <w:rPr>
                                      <w:rFonts w:ascii="Arial" w:hAnsi="Arial" w:cs="Arial"/>
                                      <w:sz w:val="16"/>
                                      <w:szCs w:val="16"/>
                                    </w:rPr>
                                  </w:pPr>
                                  <w:r w:rsidRPr="00405B5E">
                                    <w:rPr>
                                      <w:rFonts w:ascii="Arial" w:hAnsi="Arial" w:cs="Arial"/>
                                      <w:sz w:val="16"/>
                                      <w:szCs w:val="16"/>
                                    </w:rPr>
                                    <w:t>ACI</w:t>
                                  </w:r>
                                </w:p>
                              </w:tc>
                              <w:tc>
                                <w:tcPr>
                                  <w:tcW w:w="1058"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0.01</w:t>
                                  </w:r>
                                </w:p>
                              </w:tc>
                              <w:tc>
                                <w:tcPr>
                                  <w:tcW w:w="1058"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0.02</w:t>
                                  </w:r>
                                </w:p>
                              </w:tc>
                              <w:tc>
                                <w:tcPr>
                                  <w:tcW w:w="1031"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0.01</w:t>
                                  </w:r>
                                </w:p>
                              </w:tc>
                              <w:tc>
                                <w:tcPr>
                                  <w:tcW w:w="821"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100.00%</w:t>
                                  </w:r>
                                </w:p>
                              </w:tc>
                            </w:tr>
                            <w:tr w:rsidR="00405B5E" w:rsidRPr="004E1528" w:rsidTr="00F5437E">
                              <w:trPr>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pPr>
                                    <w:jc w:val="center"/>
                                    <w:rPr>
                                      <w:rFonts w:ascii="Arial" w:hAnsi="Arial" w:cs="Arial"/>
                                      <w:sz w:val="16"/>
                                      <w:szCs w:val="16"/>
                                    </w:rPr>
                                  </w:pPr>
                                  <w:r w:rsidRPr="00405B5E">
                                    <w:rPr>
                                      <w:rFonts w:ascii="Arial" w:hAnsi="Arial" w:cs="Arial"/>
                                      <w:sz w:val="16"/>
                                      <w:szCs w:val="16"/>
                                    </w:rPr>
                                    <w:t xml:space="preserve">  ALW</w:t>
                                  </w:r>
                                </w:p>
                              </w:tc>
                              <w:tc>
                                <w:tcPr>
                                  <w:tcW w:w="1058"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0.04</w:t>
                                  </w:r>
                                </w:p>
                              </w:tc>
                              <w:tc>
                                <w:tcPr>
                                  <w:tcW w:w="1058"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0.06</w:t>
                                  </w:r>
                                </w:p>
                              </w:tc>
                              <w:tc>
                                <w:tcPr>
                                  <w:tcW w:w="1031"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0.02</w:t>
                                  </w:r>
                                </w:p>
                              </w:tc>
                              <w:tc>
                                <w:tcPr>
                                  <w:tcW w:w="821"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50.00%</w:t>
                                  </w:r>
                                </w:p>
                              </w:tc>
                            </w:tr>
                            <w:tr w:rsidR="00405B5E" w:rsidRPr="004E1528" w:rsidTr="00F5437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pPr>
                                    <w:jc w:val="center"/>
                                    <w:rPr>
                                      <w:rFonts w:ascii="Arial" w:hAnsi="Arial" w:cs="Arial"/>
                                      <w:sz w:val="16"/>
                                      <w:szCs w:val="16"/>
                                    </w:rPr>
                                  </w:pPr>
                                  <w:r w:rsidRPr="00405B5E">
                                    <w:rPr>
                                      <w:rFonts w:ascii="Arial" w:hAnsi="Arial" w:cs="Arial"/>
                                      <w:sz w:val="16"/>
                                      <w:szCs w:val="16"/>
                                    </w:rPr>
                                    <w:t>FML</w:t>
                                  </w:r>
                                </w:p>
                              </w:tc>
                              <w:tc>
                                <w:tcPr>
                                  <w:tcW w:w="1058"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6.75</w:t>
                                  </w:r>
                                </w:p>
                              </w:tc>
                              <w:tc>
                                <w:tcPr>
                                  <w:tcW w:w="1058"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6.78</w:t>
                                  </w:r>
                                </w:p>
                              </w:tc>
                              <w:tc>
                                <w:tcPr>
                                  <w:tcW w:w="1031"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0.03</w:t>
                                  </w:r>
                                </w:p>
                              </w:tc>
                              <w:tc>
                                <w:tcPr>
                                  <w:tcW w:w="821"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0.44%</w:t>
                                  </w:r>
                                </w:p>
                              </w:tc>
                            </w:tr>
                            <w:tr w:rsidR="00405B5E" w:rsidRPr="004E1528" w:rsidTr="00F5437E">
                              <w:trPr>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pPr>
                                    <w:jc w:val="center"/>
                                    <w:rPr>
                                      <w:rFonts w:ascii="Arial" w:hAnsi="Arial" w:cs="Arial"/>
                                      <w:sz w:val="16"/>
                                      <w:szCs w:val="16"/>
                                    </w:rPr>
                                  </w:pPr>
                                  <w:r w:rsidRPr="00405B5E">
                                    <w:rPr>
                                      <w:rFonts w:ascii="Arial" w:hAnsi="Arial" w:cs="Arial"/>
                                      <w:sz w:val="16"/>
                                      <w:szCs w:val="16"/>
                                    </w:rPr>
                                    <w:t>SCB</w:t>
                                  </w:r>
                                </w:p>
                              </w:tc>
                              <w:tc>
                                <w:tcPr>
                                  <w:tcW w:w="1058"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16.23</w:t>
                                  </w:r>
                                </w:p>
                              </w:tc>
                              <w:tc>
                                <w:tcPr>
                                  <w:tcW w:w="1058"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16.26</w:t>
                                  </w:r>
                                </w:p>
                              </w:tc>
                              <w:tc>
                                <w:tcPr>
                                  <w:tcW w:w="1031"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0.03</w:t>
                                  </w:r>
                                </w:p>
                              </w:tc>
                              <w:tc>
                                <w:tcPr>
                                  <w:tcW w:w="821"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0.18%</w:t>
                                  </w:r>
                                </w:p>
                              </w:tc>
                            </w:tr>
                            <w:tr w:rsidR="00405B5E" w:rsidRPr="004E1528" w:rsidTr="00F5437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pPr>
                                    <w:jc w:val="center"/>
                                    <w:rPr>
                                      <w:rFonts w:ascii="Arial" w:hAnsi="Arial" w:cs="Arial"/>
                                      <w:sz w:val="16"/>
                                      <w:szCs w:val="16"/>
                                    </w:rPr>
                                  </w:pPr>
                                  <w:r w:rsidRPr="00405B5E">
                                    <w:rPr>
                                      <w:rFonts w:ascii="Arial" w:hAnsi="Arial" w:cs="Arial"/>
                                      <w:sz w:val="16"/>
                                      <w:szCs w:val="16"/>
                                    </w:rPr>
                                    <w:t>UNIL</w:t>
                                  </w:r>
                                </w:p>
                              </w:tc>
                              <w:tc>
                                <w:tcPr>
                                  <w:tcW w:w="1058"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7.62</w:t>
                                  </w:r>
                                </w:p>
                              </w:tc>
                              <w:tc>
                                <w:tcPr>
                                  <w:tcW w:w="1058"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7.65</w:t>
                                  </w:r>
                                </w:p>
                              </w:tc>
                              <w:tc>
                                <w:tcPr>
                                  <w:tcW w:w="1031"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0.03</w:t>
                                  </w:r>
                                </w:p>
                              </w:tc>
                              <w:tc>
                                <w:tcPr>
                                  <w:tcW w:w="821"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0.39%</w:t>
                                  </w:r>
                                </w:p>
                              </w:tc>
                            </w:tr>
                          </w:tbl>
                          <w:p w:rsidR="009F755A" w:rsidRPr="003C00A8" w:rsidRDefault="009F755A" w:rsidP="004022E6">
                            <w:pPr>
                              <w:jc w:val="center"/>
                              <w:rPr>
                                <w:rFonts w:ascii="Times New Roman" w:hAnsi="Times New Roman" w:cs="Times New Roman"/>
                                <w:b/>
                                <w:color w:val="5F497A" w:themeColor="accent4" w:themeShade="BF"/>
                                <w:sz w:val="14"/>
                                <w:szCs w:val="14"/>
                              </w:rPr>
                            </w:pPr>
                            <w:r w:rsidRPr="003C00A8">
                              <w:rPr>
                                <w:rFonts w:ascii="Times New Roman" w:hAnsi="Times New Roman" w:cs="Times New Roman"/>
                                <w:b/>
                                <w:color w:val="5F497A" w:themeColor="accent4" w:themeShade="BF"/>
                                <w:sz w:val="14"/>
                                <w:szCs w:val="14"/>
                              </w:rPr>
                              <w:t>Table 3: Gainers for the 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9" type="#_x0000_t202" style="position:absolute;margin-left:264pt;margin-top:-60.4pt;width:258.75pt;height:14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" strokecolor="white [3212]">
                <v:textbox>
                  <w:txbxContent>
                    <w:tbl>
                      <w:tblPr>
                        <w:tblStyle w:val="LightShading-Accent4"/>
                        <w:tblW w:w="5026" w:type="dxa"/>
                        <w:tblLook w:val="04A0" w:firstRow="1" w:lastRow="0" w:firstColumn="1" w:lastColumn="0" w:noHBand="0" w:noVBand="1"/>
                      </w:tblPr>
                      <w:tblGrid>
                        <w:gridCol w:w="1058"/>
                        <w:gridCol w:w="1058"/>
                        <w:gridCol w:w="1058"/>
                        <w:gridCol w:w="1031"/>
                        <w:gridCol w:w="848"/>
                      </w:tblGrid>
                      <w:tr w:rsidR="009F755A" w:rsidRPr="004E1528" w:rsidTr="00E50514">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hideMark/>
                          </w:tcPr>
                          <w:p w:rsidR="009F755A" w:rsidRPr="00CF733C" w:rsidRDefault="009F755A" w:rsidP="008C4692">
                            <w:pPr>
                              <w:spacing w:before="40" w:after="40"/>
                              <w:jc w:val="center"/>
                              <w:rPr>
                                <w:rFonts w:ascii="Arial" w:eastAsia="Times New Roman" w:hAnsi="Arial" w:cs="Arial"/>
                                <w:sz w:val="16"/>
                                <w:szCs w:val="16"/>
                              </w:rPr>
                            </w:pPr>
                            <w:r w:rsidRPr="00CF733C">
                              <w:rPr>
                                <w:rFonts w:ascii="Arial" w:eastAsia="Times New Roman" w:hAnsi="Arial" w:cs="Arial"/>
                                <w:sz w:val="16"/>
                                <w:szCs w:val="16"/>
                              </w:rPr>
                              <w:t>STOCK TICKER</w:t>
                            </w:r>
                          </w:p>
                        </w:tc>
                        <w:tc>
                          <w:tcPr>
                            <w:tcW w:w="1058" w:type="dxa"/>
                            <w:noWrap/>
                            <w:hideMark/>
                          </w:tcPr>
                          <w:p w:rsidR="009F755A" w:rsidRPr="00CF733C" w:rsidRDefault="009F755A" w:rsidP="008C4692">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 xml:space="preserve"> </w:t>
                            </w:r>
                            <w:proofErr w:type="spellStart"/>
                            <w:r w:rsidRPr="00CF733C">
                              <w:rPr>
                                <w:rFonts w:ascii="Arial" w:eastAsia="Times New Roman" w:hAnsi="Arial" w:cs="Arial"/>
                                <w:sz w:val="16"/>
                                <w:szCs w:val="16"/>
                              </w:rPr>
                              <w:t>Wk</w:t>
                            </w:r>
                            <w:proofErr w:type="spellEnd"/>
                            <w:r w:rsidRPr="00CF733C">
                              <w:rPr>
                                <w:rFonts w:ascii="Arial" w:eastAsia="Times New Roman" w:hAnsi="Arial" w:cs="Arial"/>
                                <w:sz w:val="16"/>
                                <w:szCs w:val="16"/>
                              </w:rPr>
                              <w:t xml:space="preserve"> Open </w:t>
                            </w:r>
                          </w:p>
                        </w:tc>
                        <w:tc>
                          <w:tcPr>
                            <w:tcW w:w="1058" w:type="dxa"/>
                            <w:noWrap/>
                            <w:hideMark/>
                          </w:tcPr>
                          <w:p w:rsidR="009F755A" w:rsidRPr="00CF733C" w:rsidRDefault="009F755A" w:rsidP="008C4692">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 xml:space="preserve"> </w:t>
                            </w:r>
                            <w:proofErr w:type="spellStart"/>
                            <w:r w:rsidRPr="00CF733C">
                              <w:rPr>
                                <w:rFonts w:ascii="Arial" w:eastAsia="Times New Roman" w:hAnsi="Arial" w:cs="Arial"/>
                                <w:sz w:val="16"/>
                                <w:szCs w:val="16"/>
                              </w:rPr>
                              <w:t>Wk</w:t>
                            </w:r>
                            <w:proofErr w:type="spellEnd"/>
                            <w:r w:rsidRPr="00CF733C">
                              <w:rPr>
                                <w:rFonts w:ascii="Arial" w:eastAsia="Times New Roman" w:hAnsi="Arial" w:cs="Arial"/>
                                <w:sz w:val="16"/>
                                <w:szCs w:val="16"/>
                              </w:rPr>
                              <w:t xml:space="preserve"> End </w:t>
                            </w:r>
                          </w:p>
                        </w:tc>
                        <w:tc>
                          <w:tcPr>
                            <w:tcW w:w="1031" w:type="dxa"/>
                            <w:noWrap/>
                            <w:hideMark/>
                          </w:tcPr>
                          <w:p w:rsidR="009F755A" w:rsidRPr="00CF733C" w:rsidRDefault="009F755A" w:rsidP="008C4692">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Change</w:t>
                            </w:r>
                          </w:p>
                        </w:tc>
                        <w:tc>
                          <w:tcPr>
                            <w:tcW w:w="821" w:type="dxa"/>
                            <w:noWrap/>
                            <w:hideMark/>
                          </w:tcPr>
                          <w:p w:rsidR="009F755A" w:rsidRPr="00CF733C" w:rsidRDefault="009F755A" w:rsidP="008C4692">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 change</w:t>
                            </w:r>
                          </w:p>
                        </w:tc>
                      </w:tr>
                      <w:tr w:rsidR="00405B5E" w:rsidRPr="004E1528" w:rsidTr="00F5437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pPr>
                              <w:jc w:val="center"/>
                              <w:rPr>
                                <w:rFonts w:ascii="Arial" w:hAnsi="Arial" w:cs="Arial"/>
                                <w:sz w:val="16"/>
                                <w:szCs w:val="16"/>
                              </w:rPr>
                            </w:pPr>
                            <w:r w:rsidRPr="00405B5E">
                              <w:rPr>
                                <w:rFonts w:ascii="Arial" w:hAnsi="Arial" w:cs="Arial"/>
                                <w:sz w:val="16"/>
                                <w:szCs w:val="16"/>
                              </w:rPr>
                              <w:t>ACI</w:t>
                            </w:r>
                          </w:p>
                        </w:tc>
                        <w:tc>
                          <w:tcPr>
                            <w:tcW w:w="1058"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0.01</w:t>
                            </w:r>
                          </w:p>
                        </w:tc>
                        <w:tc>
                          <w:tcPr>
                            <w:tcW w:w="1058"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0.02</w:t>
                            </w:r>
                          </w:p>
                        </w:tc>
                        <w:tc>
                          <w:tcPr>
                            <w:tcW w:w="1031"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0.01</w:t>
                            </w:r>
                          </w:p>
                        </w:tc>
                        <w:tc>
                          <w:tcPr>
                            <w:tcW w:w="821"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100.00%</w:t>
                            </w:r>
                          </w:p>
                        </w:tc>
                      </w:tr>
                      <w:tr w:rsidR="00405B5E" w:rsidRPr="004E1528" w:rsidTr="00F5437E">
                        <w:trPr>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pPr>
                              <w:jc w:val="center"/>
                              <w:rPr>
                                <w:rFonts w:ascii="Arial" w:hAnsi="Arial" w:cs="Arial"/>
                                <w:sz w:val="16"/>
                                <w:szCs w:val="16"/>
                              </w:rPr>
                            </w:pPr>
                            <w:r w:rsidRPr="00405B5E">
                              <w:rPr>
                                <w:rFonts w:ascii="Arial" w:hAnsi="Arial" w:cs="Arial"/>
                                <w:sz w:val="16"/>
                                <w:szCs w:val="16"/>
                              </w:rPr>
                              <w:t xml:space="preserve">  ALW</w:t>
                            </w:r>
                          </w:p>
                        </w:tc>
                        <w:tc>
                          <w:tcPr>
                            <w:tcW w:w="1058"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0.04</w:t>
                            </w:r>
                          </w:p>
                        </w:tc>
                        <w:tc>
                          <w:tcPr>
                            <w:tcW w:w="1058"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0.06</w:t>
                            </w:r>
                          </w:p>
                        </w:tc>
                        <w:tc>
                          <w:tcPr>
                            <w:tcW w:w="1031"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0.02</w:t>
                            </w:r>
                          </w:p>
                        </w:tc>
                        <w:tc>
                          <w:tcPr>
                            <w:tcW w:w="821"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50.00%</w:t>
                            </w:r>
                          </w:p>
                        </w:tc>
                      </w:tr>
                      <w:tr w:rsidR="00405B5E" w:rsidRPr="004E1528" w:rsidTr="00F5437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pPr>
                              <w:jc w:val="center"/>
                              <w:rPr>
                                <w:rFonts w:ascii="Arial" w:hAnsi="Arial" w:cs="Arial"/>
                                <w:sz w:val="16"/>
                                <w:szCs w:val="16"/>
                              </w:rPr>
                            </w:pPr>
                            <w:r w:rsidRPr="00405B5E">
                              <w:rPr>
                                <w:rFonts w:ascii="Arial" w:hAnsi="Arial" w:cs="Arial"/>
                                <w:sz w:val="16"/>
                                <w:szCs w:val="16"/>
                              </w:rPr>
                              <w:t>FML</w:t>
                            </w:r>
                          </w:p>
                        </w:tc>
                        <w:tc>
                          <w:tcPr>
                            <w:tcW w:w="1058"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6.75</w:t>
                            </w:r>
                          </w:p>
                        </w:tc>
                        <w:tc>
                          <w:tcPr>
                            <w:tcW w:w="1058"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6.78</w:t>
                            </w:r>
                          </w:p>
                        </w:tc>
                        <w:tc>
                          <w:tcPr>
                            <w:tcW w:w="1031"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0.03</w:t>
                            </w:r>
                          </w:p>
                        </w:tc>
                        <w:tc>
                          <w:tcPr>
                            <w:tcW w:w="821"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0.44%</w:t>
                            </w:r>
                          </w:p>
                        </w:tc>
                      </w:tr>
                      <w:tr w:rsidR="00405B5E" w:rsidRPr="004E1528" w:rsidTr="00F5437E">
                        <w:trPr>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pPr>
                              <w:jc w:val="center"/>
                              <w:rPr>
                                <w:rFonts w:ascii="Arial" w:hAnsi="Arial" w:cs="Arial"/>
                                <w:sz w:val="16"/>
                                <w:szCs w:val="16"/>
                              </w:rPr>
                            </w:pPr>
                            <w:r w:rsidRPr="00405B5E">
                              <w:rPr>
                                <w:rFonts w:ascii="Arial" w:hAnsi="Arial" w:cs="Arial"/>
                                <w:sz w:val="16"/>
                                <w:szCs w:val="16"/>
                              </w:rPr>
                              <w:t>SCB</w:t>
                            </w:r>
                          </w:p>
                        </w:tc>
                        <w:tc>
                          <w:tcPr>
                            <w:tcW w:w="1058"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16.23</w:t>
                            </w:r>
                          </w:p>
                        </w:tc>
                        <w:tc>
                          <w:tcPr>
                            <w:tcW w:w="1058"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16.26</w:t>
                            </w:r>
                          </w:p>
                        </w:tc>
                        <w:tc>
                          <w:tcPr>
                            <w:tcW w:w="1031"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0.03</w:t>
                            </w:r>
                          </w:p>
                        </w:tc>
                        <w:tc>
                          <w:tcPr>
                            <w:tcW w:w="821" w:type="dxa"/>
                            <w:noWrap/>
                            <w:vAlign w:val="center"/>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0.18%</w:t>
                            </w:r>
                          </w:p>
                        </w:tc>
                      </w:tr>
                      <w:tr w:rsidR="00405B5E" w:rsidRPr="004E1528" w:rsidTr="00F5437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pPr>
                              <w:jc w:val="center"/>
                              <w:rPr>
                                <w:rFonts w:ascii="Arial" w:hAnsi="Arial" w:cs="Arial"/>
                                <w:sz w:val="16"/>
                                <w:szCs w:val="16"/>
                              </w:rPr>
                            </w:pPr>
                            <w:r w:rsidRPr="00405B5E">
                              <w:rPr>
                                <w:rFonts w:ascii="Arial" w:hAnsi="Arial" w:cs="Arial"/>
                                <w:sz w:val="16"/>
                                <w:szCs w:val="16"/>
                              </w:rPr>
                              <w:t>UNIL</w:t>
                            </w:r>
                          </w:p>
                        </w:tc>
                        <w:tc>
                          <w:tcPr>
                            <w:tcW w:w="1058"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7.62</w:t>
                            </w:r>
                          </w:p>
                        </w:tc>
                        <w:tc>
                          <w:tcPr>
                            <w:tcW w:w="1058"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7.65</w:t>
                            </w:r>
                          </w:p>
                        </w:tc>
                        <w:tc>
                          <w:tcPr>
                            <w:tcW w:w="1031"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0.03</w:t>
                            </w:r>
                          </w:p>
                        </w:tc>
                        <w:tc>
                          <w:tcPr>
                            <w:tcW w:w="821" w:type="dxa"/>
                            <w:noWrap/>
                            <w:vAlign w:val="center"/>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0.39%</w:t>
                            </w:r>
                          </w:p>
                        </w:tc>
                      </w:tr>
                    </w:tbl>
                    <w:p w:rsidR="009F755A" w:rsidRPr="003C00A8" w:rsidRDefault="009F755A" w:rsidP="004022E6">
                      <w:pPr>
                        <w:jc w:val="center"/>
                        <w:rPr>
                          <w:rFonts w:ascii="Times New Roman" w:hAnsi="Times New Roman" w:cs="Times New Roman"/>
                          <w:b/>
                          <w:color w:val="5F497A" w:themeColor="accent4" w:themeShade="BF"/>
                          <w:sz w:val="14"/>
                          <w:szCs w:val="14"/>
                        </w:rPr>
                      </w:pPr>
                      <w:r w:rsidRPr="003C00A8">
                        <w:rPr>
                          <w:rFonts w:ascii="Times New Roman" w:hAnsi="Times New Roman" w:cs="Times New Roman"/>
                          <w:b/>
                          <w:color w:val="5F497A" w:themeColor="accent4" w:themeShade="BF"/>
                          <w:sz w:val="14"/>
                          <w:szCs w:val="14"/>
                        </w:rPr>
                        <w:t>Table 3: Gainers for the week</w:t>
                      </w:r>
                    </w:p>
                  </w:txbxContent>
                </v:textbox>
              </v:shape>
            </w:pict>
          </mc:Fallback>
        </mc:AlternateContent>
      </w:r>
      <w:r w:rsidR="00212770">
        <w:rPr>
          <w:rFonts w:ascii="Tw Cen MT" w:hAnsi="Tw Cen MT"/>
          <w:noProof/>
        </w:rPr>
        <mc:AlternateContent>
          <mc:Choice Requires="wps">
            <w:drawing>
              <wp:anchor distT="0" distB="0" distL="114300" distR="114300" simplePos="0" relativeHeight="251640832" behindDoc="0" locked="0" layoutInCell="1" allowOverlap="1" wp14:anchorId="62E812A6" wp14:editId="7C205752">
                <wp:simplePos x="0" y="0"/>
                <wp:positionH relativeFrom="column">
                  <wp:posOffset>-650240</wp:posOffset>
                </wp:positionH>
                <wp:positionV relativeFrom="paragraph">
                  <wp:posOffset>-862330</wp:posOffset>
                </wp:positionV>
                <wp:extent cx="1073150" cy="276225"/>
                <wp:effectExtent l="0" t="0" r="0" b="952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76225"/>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55A" w:rsidRPr="00A736D7" w:rsidRDefault="009F755A" w:rsidP="00E438B1">
                            <w:pPr>
                              <w:spacing w:before="40" w:after="40"/>
                              <w:rPr>
                                <w:rFonts w:cstheme="minorHAnsi"/>
                                <w:b/>
                                <w:color w:val="7030A0"/>
                                <w:sz w:val="18"/>
                              </w:rPr>
                            </w:pPr>
                            <w:r w:rsidRPr="00A736D7">
                              <w:rPr>
                                <w:rFonts w:cstheme="minorHAnsi"/>
                                <w:b/>
                                <w:color w:val="7030A0"/>
                                <w:sz w:val="18"/>
                              </w:rPr>
                              <w:t>MARKET MOVERS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51.2pt;margin-top:-67.9pt;width:84.5pt;height:21.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" fillcolor="#ccc0d9 [1303]" stroked="f">
                <v:textbox>
                  <w:txbxContent>
                    <w:p w:rsidR="001254A2" w:rsidRPr="00A736D7" w:rsidRDefault="001254A2" w:rsidP="00E438B1">
                      <w:pPr>
                        <w:spacing w:before="40" w:after="40"/>
                        <w:rPr>
                          <w:rFonts w:cstheme="minorHAnsi"/>
                          <w:b/>
                          <w:color w:val="7030A0"/>
                          <w:sz w:val="18"/>
                        </w:rPr>
                      </w:pPr>
                      <w:r w:rsidRPr="00A736D7">
                        <w:rPr>
                          <w:rFonts w:cstheme="minorHAnsi"/>
                          <w:b/>
                          <w:color w:val="7030A0"/>
                          <w:sz w:val="18"/>
                        </w:rPr>
                        <w:t>MARKET MOVERS</w:t>
                      </w:r>
                    </w:p>
                  </w:txbxContent>
                </v:textbox>
              </v:shape>
            </w:pict>
          </mc:Fallback>
        </mc:AlternateContent>
      </w:r>
    </w:p>
    <w:p w:rsidR="0023416D" w:rsidRDefault="00DD0F9D" w:rsidP="00DD0F9D">
      <w:pPr>
        <w:tabs>
          <w:tab w:val="left" w:pos="6279"/>
        </w:tabs>
        <w:rPr>
          <w:rFonts w:ascii="Tw Cen MT" w:hAnsi="Tw Cen MT"/>
        </w:rPr>
      </w:pPr>
      <w:r>
        <w:rPr>
          <w:rFonts w:ascii="Tw Cen MT" w:hAnsi="Tw Cen MT"/>
        </w:rPr>
        <w:tab/>
      </w:r>
      <w:r w:rsidR="00100B93">
        <w:rPr>
          <w:rFonts w:ascii="Tw Cen MT" w:hAnsi="Tw Cen MT"/>
        </w:rPr>
        <w:t xml:space="preserve"> </w:t>
      </w:r>
    </w:p>
    <w:p w:rsidR="0023416D" w:rsidRDefault="0023416D" w:rsidP="0023416D">
      <w:pPr>
        <w:tabs>
          <w:tab w:val="left" w:pos="7803"/>
        </w:tabs>
        <w:rPr>
          <w:rFonts w:ascii="Tw Cen MT" w:hAnsi="Tw Cen MT"/>
        </w:rPr>
      </w:pPr>
    </w:p>
    <w:p w:rsidR="000B5D3F" w:rsidRDefault="000B5D3F" w:rsidP="0023416D">
      <w:pPr>
        <w:tabs>
          <w:tab w:val="left" w:pos="7803"/>
        </w:tabs>
        <w:rPr>
          <w:rFonts w:ascii="Tw Cen MT" w:hAnsi="Tw Cen MT"/>
        </w:rPr>
      </w:pPr>
    </w:p>
    <w:p w:rsidR="004022E6" w:rsidRDefault="001254A2" w:rsidP="0023416D">
      <w:pPr>
        <w:tabs>
          <w:tab w:val="left" w:pos="7803"/>
        </w:tabs>
        <w:rPr>
          <w:rFonts w:ascii="Tw Cen MT" w:hAnsi="Tw Cen MT"/>
        </w:rPr>
      </w:pPr>
      <w:r>
        <w:rPr>
          <w:rFonts w:ascii="Tw Cen MT" w:hAnsi="Tw Cen MT"/>
          <w:noProof/>
        </w:rPr>
        <mc:AlternateContent>
          <mc:Choice Requires="wps">
            <w:drawing>
              <wp:anchor distT="0" distB="0" distL="114300" distR="114300" simplePos="0" relativeHeight="251649024" behindDoc="0" locked="0" layoutInCell="1" allowOverlap="1" wp14:anchorId="6E3FBCE6" wp14:editId="1E3EC841">
                <wp:simplePos x="0" y="0"/>
                <wp:positionH relativeFrom="column">
                  <wp:posOffset>3352800</wp:posOffset>
                </wp:positionH>
                <wp:positionV relativeFrom="paragraph">
                  <wp:posOffset>254000</wp:posOffset>
                </wp:positionV>
                <wp:extent cx="3362325" cy="2743200"/>
                <wp:effectExtent l="0" t="0" r="28575" b="19050"/>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743200"/>
                        </a:xfrm>
                        <a:prstGeom prst="rect">
                          <a:avLst/>
                        </a:prstGeom>
                        <a:solidFill>
                          <a:srgbClr val="FFFFFF"/>
                        </a:solidFill>
                        <a:ln w="9525">
                          <a:solidFill>
                            <a:schemeClr val="bg1">
                              <a:lumMod val="100000"/>
                              <a:lumOff val="0"/>
                            </a:schemeClr>
                          </a:solidFill>
                          <a:miter lim="800000"/>
                          <a:headEnd/>
                          <a:tailEnd/>
                        </a:ln>
                      </wps:spPr>
                      <wps:txbx>
                        <w:txbxContent>
                          <w:tbl>
                            <w:tblPr>
                              <w:tblStyle w:val="LightShading-Accent4"/>
                              <w:tblW w:w="5026" w:type="dxa"/>
                              <w:tblLook w:val="04A0" w:firstRow="1" w:lastRow="0" w:firstColumn="1" w:lastColumn="0" w:noHBand="0" w:noVBand="1"/>
                            </w:tblPr>
                            <w:tblGrid>
                              <w:gridCol w:w="1058"/>
                              <w:gridCol w:w="1058"/>
                              <w:gridCol w:w="1058"/>
                              <w:gridCol w:w="1031"/>
                              <w:gridCol w:w="821"/>
                            </w:tblGrid>
                            <w:tr w:rsidR="009F755A" w:rsidRPr="004E1528" w:rsidTr="005E2381">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tcPr>
                                <w:p w:rsidR="009F755A" w:rsidRPr="00CF733C" w:rsidRDefault="009F755A" w:rsidP="001060C6">
                                  <w:pPr>
                                    <w:spacing w:before="40" w:after="40"/>
                                    <w:jc w:val="center"/>
                                    <w:rPr>
                                      <w:rFonts w:ascii="Arial" w:eastAsia="Times New Roman" w:hAnsi="Arial" w:cs="Arial"/>
                                      <w:sz w:val="16"/>
                                      <w:szCs w:val="16"/>
                                    </w:rPr>
                                  </w:pPr>
                                  <w:r w:rsidRPr="00CF733C">
                                    <w:rPr>
                                      <w:rFonts w:ascii="Arial" w:eastAsia="Times New Roman" w:hAnsi="Arial" w:cs="Arial"/>
                                      <w:sz w:val="16"/>
                                      <w:szCs w:val="16"/>
                                    </w:rPr>
                                    <w:t>STOCK TICKER</w:t>
                                  </w:r>
                                </w:p>
                              </w:tc>
                              <w:tc>
                                <w:tcPr>
                                  <w:tcW w:w="1058" w:type="dxa"/>
                                  <w:noWrap/>
                                </w:tcPr>
                                <w:p w:rsidR="009F755A" w:rsidRPr="00CF733C" w:rsidRDefault="009F755A" w:rsidP="001060C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 xml:space="preserve"> </w:t>
                                  </w:r>
                                  <w:proofErr w:type="spellStart"/>
                                  <w:r w:rsidRPr="00CF733C">
                                    <w:rPr>
                                      <w:rFonts w:ascii="Arial" w:eastAsia="Times New Roman" w:hAnsi="Arial" w:cs="Arial"/>
                                      <w:sz w:val="16"/>
                                      <w:szCs w:val="16"/>
                                    </w:rPr>
                                    <w:t>Wk</w:t>
                                  </w:r>
                                  <w:proofErr w:type="spellEnd"/>
                                  <w:r w:rsidRPr="00CF733C">
                                    <w:rPr>
                                      <w:rFonts w:ascii="Arial" w:eastAsia="Times New Roman" w:hAnsi="Arial" w:cs="Arial"/>
                                      <w:sz w:val="16"/>
                                      <w:szCs w:val="16"/>
                                    </w:rPr>
                                    <w:t xml:space="preserve"> Open </w:t>
                                  </w:r>
                                </w:p>
                              </w:tc>
                              <w:tc>
                                <w:tcPr>
                                  <w:tcW w:w="1058" w:type="dxa"/>
                                  <w:noWrap/>
                                </w:tcPr>
                                <w:p w:rsidR="009F755A" w:rsidRPr="00CF733C" w:rsidRDefault="009F755A" w:rsidP="001060C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 xml:space="preserve"> </w:t>
                                  </w:r>
                                  <w:proofErr w:type="spellStart"/>
                                  <w:r w:rsidRPr="00CF733C">
                                    <w:rPr>
                                      <w:rFonts w:ascii="Arial" w:eastAsia="Times New Roman" w:hAnsi="Arial" w:cs="Arial"/>
                                      <w:sz w:val="16"/>
                                      <w:szCs w:val="16"/>
                                    </w:rPr>
                                    <w:t>Wk</w:t>
                                  </w:r>
                                  <w:proofErr w:type="spellEnd"/>
                                  <w:r w:rsidRPr="00CF733C">
                                    <w:rPr>
                                      <w:rFonts w:ascii="Arial" w:eastAsia="Times New Roman" w:hAnsi="Arial" w:cs="Arial"/>
                                      <w:sz w:val="16"/>
                                      <w:szCs w:val="16"/>
                                    </w:rPr>
                                    <w:t xml:space="preserve"> End </w:t>
                                  </w:r>
                                </w:p>
                              </w:tc>
                              <w:tc>
                                <w:tcPr>
                                  <w:tcW w:w="1031" w:type="dxa"/>
                                  <w:noWrap/>
                                </w:tcPr>
                                <w:p w:rsidR="009F755A" w:rsidRPr="00CF733C" w:rsidRDefault="009F755A" w:rsidP="001060C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Change</w:t>
                                  </w:r>
                                </w:p>
                              </w:tc>
                              <w:tc>
                                <w:tcPr>
                                  <w:tcW w:w="821" w:type="dxa"/>
                                  <w:noWrap/>
                                </w:tcPr>
                                <w:p w:rsidR="009F755A" w:rsidRPr="00CF733C" w:rsidRDefault="009F755A" w:rsidP="001060C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 change</w:t>
                                  </w:r>
                                </w:p>
                              </w:tc>
                            </w:tr>
                            <w:tr w:rsidR="00405B5E" w:rsidRPr="004E1528" w:rsidTr="00405B5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BOPP</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4.16</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4.00</w:t>
                                  </w:r>
                                </w:p>
                              </w:tc>
                              <w:tc>
                                <w:tcPr>
                                  <w:tcW w:w="103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-0.16</w:t>
                                  </w:r>
                                </w:p>
                              </w:tc>
                              <w:tc>
                                <w:tcPr>
                                  <w:tcW w:w="82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-3.85%</w:t>
                                  </w:r>
                                </w:p>
                              </w:tc>
                            </w:tr>
                            <w:tr w:rsidR="00405B5E" w:rsidRPr="004E1528" w:rsidTr="00405B5E">
                              <w:trPr>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CAL</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0.85</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0.84</w:t>
                                  </w:r>
                                </w:p>
                              </w:tc>
                              <w:tc>
                                <w:tcPr>
                                  <w:tcW w:w="103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-0.01</w:t>
                                  </w:r>
                                </w:p>
                              </w:tc>
                              <w:tc>
                                <w:tcPr>
                                  <w:tcW w:w="82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-1.18%</w:t>
                                  </w:r>
                                </w:p>
                              </w:tc>
                            </w:tr>
                            <w:tr w:rsidR="00405B5E" w:rsidRPr="004E1528" w:rsidTr="00405B5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GCB</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3.90</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3.69</w:t>
                                  </w:r>
                                </w:p>
                              </w:tc>
                              <w:tc>
                                <w:tcPr>
                                  <w:tcW w:w="103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-0.21</w:t>
                                  </w:r>
                                </w:p>
                              </w:tc>
                              <w:tc>
                                <w:tcPr>
                                  <w:tcW w:w="82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-5.38%</w:t>
                                  </w:r>
                                </w:p>
                              </w:tc>
                            </w:tr>
                            <w:tr w:rsidR="00405B5E" w:rsidRPr="004E1528" w:rsidTr="00405B5E">
                              <w:trPr>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GGBL</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2.20</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2.19</w:t>
                                  </w:r>
                                </w:p>
                              </w:tc>
                              <w:tc>
                                <w:tcPr>
                                  <w:tcW w:w="103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-0.01</w:t>
                                  </w:r>
                                </w:p>
                              </w:tc>
                              <w:tc>
                                <w:tcPr>
                                  <w:tcW w:w="82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-0.45%</w:t>
                                  </w:r>
                                </w:p>
                              </w:tc>
                            </w:tr>
                            <w:tr w:rsidR="00405B5E" w:rsidRPr="004E1528" w:rsidTr="00405B5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GOIL</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1.50</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1.40</w:t>
                                  </w:r>
                                </w:p>
                              </w:tc>
                              <w:tc>
                                <w:tcPr>
                                  <w:tcW w:w="103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-0.10</w:t>
                                  </w:r>
                                </w:p>
                              </w:tc>
                              <w:tc>
                                <w:tcPr>
                                  <w:tcW w:w="82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-6.67%</w:t>
                                  </w:r>
                                </w:p>
                              </w:tc>
                            </w:tr>
                            <w:tr w:rsidR="00405B5E" w:rsidRPr="004E1528" w:rsidTr="00405B5E">
                              <w:trPr>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HFC</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1.15</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1.01</w:t>
                                  </w:r>
                                </w:p>
                              </w:tc>
                              <w:tc>
                                <w:tcPr>
                                  <w:tcW w:w="103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-0.14</w:t>
                                  </w:r>
                                </w:p>
                              </w:tc>
                              <w:tc>
                                <w:tcPr>
                                  <w:tcW w:w="82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-12.17%</w:t>
                                  </w:r>
                                </w:p>
                              </w:tc>
                            </w:tr>
                            <w:tr w:rsidR="00405B5E" w:rsidRPr="004E1528" w:rsidTr="00405B5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SIC</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0.13</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0.12</w:t>
                                  </w:r>
                                </w:p>
                              </w:tc>
                              <w:tc>
                                <w:tcPr>
                                  <w:tcW w:w="103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-0.01</w:t>
                                  </w:r>
                                </w:p>
                              </w:tc>
                              <w:tc>
                                <w:tcPr>
                                  <w:tcW w:w="82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-7.69%</w:t>
                                  </w:r>
                                </w:p>
                              </w:tc>
                            </w:tr>
                            <w:tr w:rsidR="00405B5E" w:rsidRPr="004E1528" w:rsidTr="00405B5E">
                              <w:trPr>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TOTAL</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5.38</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5.37</w:t>
                                  </w:r>
                                </w:p>
                              </w:tc>
                              <w:tc>
                                <w:tcPr>
                                  <w:tcW w:w="103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-0.01</w:t>
                                  </w:r>
                                </w:p>
                              </w:tc>
                              <w:tc>
                                <w:tcPr>
                                  <w:tcW w:w="82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-0.19%</w:t>
                                  </w:r>
                                </w:p>
                              </w:tc>
                            </w:tr>
                          </w:tbl>
                          <w:p w:rsidR="009F755A" w:rsidRPr="003C00A8" w:rsidRDefault="009F755A" w:rsidP="000B5D3F">
                            <w:pPr>
                              <w:jc w:val="center"/>
                              <w:rPr>
                                <w:rFonts w:ascii="Times New Roman" w:hAnsi="Times New Roman" w:cs="Times New Roman"/>
                                <w:b/>
                                <w:color w:val="5F497A" w:themeColor="accent4" w:themeShade="BF"/>
                                <w:sz w:val="14"/>
                                <w:szCs w:val="14"/>
                              </w:rPr>
                            </w:pPr>
                            <w:r>
                              <w:rPr>
                                <w:rFonts w:ascii="Times New Roman" w:hAnsi="Times New Roman" w:cs="Times New Roman"/>
                                <w:b/>
                                <w:color w:val="5F497A" w:themeColor="accent4" w:themeShade="BF"/>
                                <w:sz w:val="14"/>
                                <w:szCs w:val="14"/>
                              </w:rPr>
                              <w:t>Table 4</w:t>
                            </w:r>
                            <w:r w:rsidRPr="003C00A8">
                              <w:rPr>
                                <w:rFonts w:ascii="Times New Roman" w:hAnsi="Times New Roman" w:cs="Times New Roman"/>
                                <w:b/>
                                <w:color w:val="5F497A" w:themeColor="accent4" w:themeShade="BF"/>
                                <w:sz w:val="14"/>
                                <w:szCs w:val="14"/>
                              </w:rPr>
                              <w:t xml:space="preserve">: </w:t>
                            </w:r>
                            <w:r>
                              <w:rPr>
                                <w:rFonts w:ascii="Times New Roman" w:hAnsi="Times New Roman" w:cs="Times New Roman"/>
                                <w:b/>
                                <w:color w:val="5F497A" w:themeColor="accent4" w:themeShade="BF"/>
                                <w:sz w:val="14"/>
                                <w:szCs w:val="14"/>
                              </w:rPr>
                              <w:t xml:space="preserve">Laggards </w:t>
                            </w:r>
                            <w:r w:rsidRPr="003C00A8">
                              <w:rPr>
                                <w:rFonts w:ascii="Times New Roman" w:hAnsi="Times New Roman" w:cs="Times New Roman"/>
                                <w:b/>
                                <w:color w:val="5F497A" w:themeColor="accent4" w:themeShade="BF"/>
                                <w:sz w:val="14"/>
                                <w:szCs w:val="14"/>
                              </w:rPr>
                              <w:t>for the 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64pt;margin-top:20pt;width:264.75pt;height:3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" strokecolor="white [3212]">
                <v:textbox>
                  <w:txbxContent>
                    <w:tbl>
                      <w:tblPr>
                        <w:tblStyle w:val="LightShading-Accent4"/>
                        <w:tblW w:w="5026" w:type="dxa"/>
                        <w:tblLook w:val="04A0" w:firstRow="1" w:lastRow="0" w:firstColumn="1" w:lastColumn="0" w:noHBand="0" w:noVBand="1"/>
                      </w:tblPr>
                      <w:tblGrid>
                        <w:gridCol w:w="1058"/>
                        <w:gridCol w:w="1058"/>
                        <w:gridCol w:w="1058"/>
                        <w:gridCol w:w="1031"/>
                        <w:gridCol w:w="821"/>
                      </w:tblGrid>
                      <w:tr w:rsidR="009F755A" w:rsidRPr="004E1528" w:rsidTr="005E2381">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tcPr>
                          <w:p w:rsidR="009F755A" w:rsidRPr="00CF733C" w:rsidRDefault="009F755A" w:rsidP="001060C6">
                            <w:pPr>
                              <w:spacing w:before="40" w:after="40"/>
                              <w:jc w:val="center"/>
                              <w:rPr>
                                <w:rFonts w:ascii="Arial" w:eastAsia="Times New Roman" w:hAnsi="Arial" w:cs="Arial"/>
                                <w:sz w:val="16"/>
                                <w:szCs w:val="16"/>
                              </w:rPr>
                            </w:pPr>
                            <w:r w:rsidRPr="00CF733C">
                              <w:rPr>
                                <w:rFonts w:ascii="Arial" w:eastAsia="Times New Roman" w:hAnsi="Arial" w:cs="Arial"/>
                                <w:sz w:val="16"/>
                                <w:szCs w:val="16"/>
                              </w:rPr>
                              <w:t>STOCK TICKER</w:t>
                            </w:r>
                          </w:p>
                        </w:tc>
                        <w:tc>
                          <w:tcPr>
                            <w:tcW w:w="1058" w:type="dxa"/>
                            <w:noWrap/>
                          </w:tcPr>
                          <w:p w:rsidR="009F755A" w:rsidRPr="00CF733C" w:rsidRDefault="009F755A" w:rsidP="001060C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 xml:space="preserve"> </w:t>
                            </w:r>
                            <w:proofErr w:type="spellStart"/>
                            <w:r w:rsidRPr="00CF733C">
                              <w:rPr>
                                <w:rFonts w:ascii="Arial" w:eastAsia="Times New Roman" w:hAnsi="Arial" w:cs="Arial"/>
                                <w:sz w:val="16"/>
                                <w:szCs w:val="16"/>
                              </w:rPr>
                              <w:t>Wk</w:t>
                            </w:r>
                            <w:proofErr w:type="spellEnd"/>
                            <w:r w:rsidRPr="00CF733C">
                              <w:rPr>
                                <w:rFonts w:ascii="Arial" w:eastAsia="Times New Roman" w:hAnsi="Arial" w:cs="Arial"/>
                                <w:sz w:val="16"/>
                                <w:szCs w:val="16"/>
                              </w:rPr>
                              <w:t xml:space="preserve"> Open </w:t>
                            </w:r>
                          </w:p>
                        </w:tc>
                        <w:tc>
                          <w:tcPr>
                            <w:tcW w:w="1058" w:type="dxa"/>
                            <w:noWrap/>
                          </w:tcPr>
                          <w:p w:rsidR="009F755A" w:rsidRPr="00CF733C" w:rsidRDefault="009F755A" w:rsidP="001060C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 xml:space="preserve"> </w:t>
                            </w:r>
                            <w:proofErr w:type="spellStart"/>
                            <w:r w:rsidRPr="00CF733C">
                              <w:rPr>
                                <w:rFonts w:ascii="Arial" w:eastAsia="Times New Roman" w:hAnsi="Arial" w:cs="Arial"/>
                                <w:sz w:val="16"/>
                                <w:szCs w:val="16"/>
                              </w:rPr>
                              <w:t>Wk</w:t>
                            </w:r>
                            <w:proofErr w:type="spellEnd"/>
                            <w:r w:rsidRPr="00CF733C">
                              <w:rPr>
                                <w:rFonts w:ascii="Arial" w:eastAsia="Times New Roman" w:hAnsi="Arial" w:cs="Arial"/>
                                <w:sz w:val="16"/>
                                <w:szCs w:val="16"/>
                              </w:rPr>
                              <w:t xml:space="preserve"> End </w:t>
                            </w:r>
                          </w:p>
                        </w:tc>
                        <w:tc>
                          <w:tcPr>
                            <w:tcW w:w="1031" w:type="dxa"/>
                            <w:noWrap/>
                          </w:tcPr>
                          <w:p w:rsidR="009F755A" w:rsidRPr="00CF733C" w:rsidRDefault="009F755A" w:rsidP="001060C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Change</w:t>
                            </w:r>
                          </w:p>
                        </w:tc>
                        <w:tc>
                          <w:tcPr>
                            <w:tcW w:w="821" w:type="dxa"/>
                            <w:noWrap/>
                          </w:tcPr>
                          <w:p w:rsidR="009F755A" w:rsidRPr="00CF733C" w:rsidRDefault="009F755A" w:rsidP="001060C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CF733C">
                              <w:rPr>
                                <w:rFonts w:ascii="Arial" w:eastAsia="Times New Roman" w:hAnsi="Arial" w:cs="Arial"/>
                                <w:sz w:val="16"/>
                                <w:szCs w:val="16"/>
                              </w:rPr>
                              <w:t>% change</w:t>
                            </w:r>
                          </w:p>
                        </w:tc>
                      </w:tr>
                      <w:tr w:rsidR="00405B5E" w:rsidRPr="004E1528" w:rsidTr="00405B5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BOPP</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4.16</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4.00</w:t>
                            </w:r>
                          </w:p>
                        </w:tc>
                        <w:tc>
                          <w:tcPr>
                            <w:tcW w:w="103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-0.16</w:t>
                            </w:r>
                          </w:p>
                        </w:tc>
                        <w:tc>
                          <w:tcPr>
                            <w:tcW w:w="82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-3.85%</w:t>
                            </w:r>
                          </w:p>
                        </w:tc>
                      </w:tr>
                      <w:tr w:rsidR="00405B5E" w:rsidRPr="004E1528" w:rsidTr="00405B5E">
                        <w:trPr>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CAL</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0.85</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0.84</w:t>
                            </w:r>
                          </w:p>
                        </w:tc>
                        <w:tc>
                          <w:tcPr>
                            <w:tcW w:w="103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-0.01</w:t>
                            </w:r>
                          </w:p>
                        </w:tc>
                        <w:tc>
                          <w:tcPr>
                            <w:tcW w:w="82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-1.18%</w:t>
                            </w:r>
                          </w:p>
                        </w:tc>
                      </w:tr>
                      <w:tr w:rsidR="00405B5E" w:rsidRPr="004E1528" w:rsidTr="00405B5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GCB</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3.90</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3.69</w:t>
                            </w:r>
                          </w:p>
                        </w:tc>
                        <w:tc>
                          <w:tcPr>
                            <w:tcW w:w="103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-0.21</w:t>
                            </w:r>
                          </w:p>
                        </w:tc>
                        <w:tc>
                          <w:tcPr>
                            <w:tcW w:w="82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-5.38%</w:t>
                            </w:r>
                          </w:p>
                        </w:tc>
                      </w:tr>
                      <w:tr w:rsidR="00405B5E" w:rsidRPr="004E1528" w:rsidTr="00405B5E">
                        <w:trPr>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GGBL</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2.20</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2.19</w:t>
                            </w:r>
                          </w:p>
                        </w:tc>
                        <w:tc>
                          <w:tcPr>
                            <w:tcW w:w="103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-0.01</w:t>
                            </w:r>
                          </w:p>
                        </w:tc>
                        <w:tc>
                          <w:tcPr>
                            <w:tcW w:w="82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-0.45%</w:t>
                            </w:r>
                          </w:p>
                        </w:tc>
                      </w:tr>
                      <w:tr w:rsidR="00405B5E" w:rsidRPr="004E1528" w:rsidTr="00405B5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GOIL</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1.50</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1.40</w:t>
                            </w:r>
                          </w:p>
                        </w:tc>
                        <w:tc>
                          <w:tcPr>
                            <w:tcW w:w="103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-0.10</w:t>
                            </w:r>
                          </w:p>
                        </w:tc>
                        <w:tc>
                          <w:tcPr>
                            <w:tcW w:w="82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-6.67%</w:t>
                            </w:r>
                          </w:p>
                        </w:tc>
                      </w:tr>
                      <w:tr w:rsidR="00405B5E" w:rsidRPr="004E1528" w:rsidTr="00405B5E">
                        <w:trPr>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HFC</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1.15</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1.01</w:t>
                            </w:r>
                          </w:p>
                        </w:tc>
                        <w:tc>
                          <w:tcPr>
                            <w:tcW w:w="103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-0.14</w:t>
                            </w:r>
                          </w:p>
                        </w:tc>
                        <w:tc>
                          <w:tcPr>
                            <w:tcW w:w="82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-12.17%</w:t>
                            </w:r>
                          </w:p>
                        </w:tc>
                      </w:tr>
                      <w:tr w:rsidR="00405B5E" w:rsidRPr="004E1528" w:rsidTr="00405B5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SIC</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0.13</w:t>
                            </w:r>
                          </w:p>
                        </w:tc>
                        <w:tc>
                          <w:tcPr>
                            <w:tcW w:w="1058"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0.12</w:t>
                            </w:r>
                          </w:p>
                        </w:tc>
                        <w:tc>
                          <w:tcPr>
                            <w:tcW w:w="103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-0.01</w:t>
                            </w:r>
                          </w:p>
                        </w:tc>
                        <w:tc>
                          <w:tcPr>
                            <w:tcW w:w="821" w:type="dxa"/>
                            <w:noWrap/>
                            <w:vAlign w:val="center"/>
                          </w:tcPr>
                          <w:p w:rsidR="00405B5E" w:rsidRPr="00405B5E" w:rsidRDefault="00405B5E" w:rsidP="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sz w:val="16"/>
                                <w:szCs w:val="16"/>
                              </w:rPr>
                              <w:t>-7.69%</w:t>
                            </w:r>
                          </w:p>
                        </w:tc>
                      </w:tr>
                      <w:tr w:rsidR="00405B5E" w:rsidRPr="004E1528" w:rsidTr="00405B5E">
                        <w:trPr>
                          <w:trHeight w:val="412"/>
                        </w:trPr>
                        <w:tc>
                          <w:tcPr>
                            <w:cnfStyle w:val="001000000000" w:firstRow="0" w:lastRow="0" w:firstColumn="1" w:lastColumn="0" w:oddVBand="0" w:evenVBand="0" w:oddHBand="0" w:evenHBand="0" w:firstRowFirstColumn="0" w:firstRowLastColumn="0" w:lastRowFirstColumn="0" w:lastRowLastColumn="0"/>
                            <w:tcW w:w="1058" w:type="dxa"/>
                            <w:noWrap/>
                            <w:vAlign w:val="center"/>
                          </w:tcPr>
                          <w:p w:rsidR="00405B5E" w:rsidRPr="00405B5E" w:rsidRDefault="00405B5E" w:rsidP="00405B5E">
                            <w:pPr>
                              <w:jc w:val="center"/>
                              <w:rPr>
                                <w:rFonts w:ascii="Arial" w:hAnsi="Arial" w:cs="Arial"/>
                                <w:sz w:val="16"/>
                                <w:szCs w:val="16"/>
                              </w:rPr>
                            </w:pPr>
                            <w:r w:rsidRPr="00405B5E">
                              <w:rPr>
                                <w:rFonts w:ascii="Arial" w:hAnsi="Arial" w:cs="Arial"/>
                                <w:sz w:val="16"/>
                                <w:szCs w:val="16"/>
                              </w:rPr>
                              <w:t>TOTAL</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5.38</w:t>
                            </w:r>
                          </w:p>
                        </w:tc>
                        <w:tc>
                          <w:tcPr>
                            <w:tcW w:w="1058"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5.37</w:t>
                            </w:r>
                          </w:p>
                        </w:tc>
                        <w:tc>
                          <w:tcPr>
                            <w:tcW w:w="103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-0.01</w:t>
                            </w:r>
                          </w:p>
                        </w:tc>
                        <w:tc>
                          <w:tcPr>
                            <w:tcW w:w="821" w:type="dxa"/>
                            <w:noWrap/>
                            <w:vAlign w:val="center"/>
                          </w:tcPr>
                          <w:p w:rsidR="00405B5E" w:rsidRPr="00405B5E" w:rsidRDefault="00405B5E" w:rsidP="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sz w:val="16"/>
                                <w:szCs w:val="16"/>
                              </w:rPr>
                              <w:t>-0.19%</w:t>
                            </w:r>
                          </w:p>
                        </w:tc>
                      </w:tr>
                    </w:tbl>
                    <w:p w:rsidR="009F755A" w:rsidRPr="003C00A8" w:rsidRDefault="009F755A" w:rsidP="000B5D3F">
                      <w:pPr>
                        <w:jc w:val="center"/>
                        <w:rPr>
                          <w:rFonts w:ascii="Times New Roman" w:hAnsi="Times New Roman" w:cs="Times New Roman"/>
                          <w:b/>
                          <w:color w:val="5F497A" w:themeColor="accent4" w:themeShade="BF"/>
                          <w:sz w:val="14"/>
                          <w:szCs w:val="14"/>
                        </w:rPr>
                      </w:pPr>
                      <w:r>
                        <w:rPr>
                          <w:rFonts w:ascii="Times New Roman" w:hAnsi="Times New Roman" w:cs="Times New Roman"/>
                          <w:b/>
                          <w:color w:val="5F497A" w:themeColor="accent4" w:themeShade="BF"/>
                          <w:sz w:val="14"/>
                          <w:szCs w:val="14"/>
                        </w:rPr>
                        <w:t>Table 4</w:t>
                      </w:r>
                      <w:r w:rsidRPr="003C00A8">
                        <w:rPr>
                          <w:rFonts w:ascii="Times New Roman" w:hAnsi="Times New Roman" w:cs="Times New Roman"/>
                          <w:b/>
                          <w:color w:val="5F497A" w:themeColor="accent4" w:themeShade="BF"/>
                          <w:sz w:val="14"/>
                          <w:szCs w:val="14"/>
                        </w:rPr>
                        <w:t xml:space="preserve">: </w:t>
                      </w:r>
                      <w:r>
                        <w:rPr>
                          <w:rFonts w:ascii="Times New Roman" w:hAnsi="Times New Roman" w:cs="Times New Roman"/>
                          <w:b/>
                          <w:color w:val="5F497A" w:themeColor="accent4" w:themeShade="BF"/>
                          <w:sz w:val="14"/>
                          <w:szCs w:val="14"/>
                        </w:rPr>
                        <w:t xml:space="preserve">Laggards </w:t>
                      </w:r>
                      <w:r w:rsidRPr="003C00A8">
                        <w:rPr>
                          <w:rFonts w:ascii="Times New Roman" w:hAnsi="Times New Roman" w:cs="Times New Roman"/>
                          <w:b/>
                          <w:color w:val="5F497A" w:themeColor="accent4" w:themeShade="BF"/>
                          <w:sz w:val="14"/>
                          <w:szCs w:val="14"/>
                        </w:rPr>
                        <w:t>for the week</w:t>
                      </w:r>
                    </w:p>
                  </w:txbxContent>
                </v:textbox>
              </v:shape>
            </w:pict>
          </mc:Fallback>
        </mc:AlternateContent>
      </w:r>
    </w:p>
    <w:p w:rsidR="000B5D3F" w:rsidRDefault="000B5D3F" w:rsidP="0023416D">
      <w:pPr>
        <w:tabs>
          <w:tab w:val="left" w:pos="7803"/>
        </w:tabs>
        <w:rPr>
          <w:rFonts w:ascii="Tw Cen MT" w:hAnsi="Tw Cen MT"/>
        </w:rPr>
      </w:pPr>
    </w:p>
    <w:p w:rsidR="000B5D3F" w:rsidRDefault="000B5D3F" w:rsidP="0023416D">
      <w:pPr>
        <w:tabs>
          <w:tab w:val="left" w:pos="7803"/>
        </w:tabs>
        <w:rPr>
          <w:rFonts w:ascii="Tw Cen MT" w:hAnsi="Tw Cen MT"/>
        </w:rPr>
      </w:pPr>
    </w:p>
    <w:p w:rsidR="0023416D" w:rsidRDefault="0023416D" w:rsidP="0023416D">
      <w:pPr>
        <w:tabs>
          <w:tab w:val="left" w:pos="7803"/>
        </w:tabs>
        <w:rPr>
          <w:rFonts w:ascii="Tw Cen MT" w:hAnsi="Tw Cen MT"/>
        </w:rPr>
      </w:pPr>
    </w:p>
    <w:p w:rsidR="0023416D" w:rsidRDefault="0023416D" w:rsidP="0023416D">
      <w:pPr>
        <w:tabs>
          <w:tab w:val="left" w:pos="7803"/>
        </w:tabs>
        <w:rPr>
          <w:rFonts w:ascii="Tw Cen MT" w:hAnsi="Tw Cen MT"/>
        </w:rPr>
      </w:pPr>
    </w:p>
    <w:p w:rsidR="0023416D" w:rsidRDefault="0023416D" w:rsidP="0023416D">
      <w:pPr>
        <w:tabs>
          <w:tab w:val="left" w:pos="7803"/>
        </w:tabs>
        <w:rPr>
          <w:rFonts w:ascii="Tw Cen MT" w:hAnsi="Tw Cen MT"/>
        </w:rPr>
      </w:pPr>
    </w:p>
    <w:p w:rsidR="0023416D" w:rsidRDefault="0023416D" w:rsidP="0023416D">
      <w:pPr>
        <w:tabs>
          <w:tab w:val="left" w:pos="7803"/>
        </w:tabs>
        <w:rPr>
          <w:rFonts w:ascii="Tw Cen MT" w:hAnsi="Tw Cen MT"/>
        </w:rPr>
      </w:pPr>
    </w:p>
    <w:p w:rsidR="0023416D" w:rsidRDefault="0023416D" w:rsidP="0023416D">
      <w:pPr>
        <w:tabs>
          <w:tab w:val="left" w:pos="7803"/>
        </w:tabs>
        <w:rPr>
          <w:rFonts w:ascii="Tw Cen MT" w:hAnsi="Tw Cen MT"/>
        </w:rPr>
      </w:pPr>
    </w:p>
    <w:p w:rsidR="0023416D" w:rsidRDefault="0023416D" w:rsidP="0023416D">
      <w:pPr>
        <w:tabs>
          <w:tab w:val="left" w:pos="7803"/>
        </w:tabs>
        <w:rPr>
          <w:rFonts w:ascii="Tw Cen MT" w:hAnsi="Tw Cen MT"/>
        </w:rPr>
      </w:pPr>
    </w:p>
    <w:p w:rsidR="0023416D" w:rsidRDefault="0023416D" w:rsidP="0023416D">
      <w:pPr>
        <w:tabs>
          <w:tab w:val="left" w:pos="7803"/>
        </w:tabs>
        <w:rPr>
          <w:rFonts w:ascii="Tw Cen MT" w:hAnsi="Tw Cen MT"/>
        </w:rPr>
      </w:pPr>
    </w:p>
    <w:p w:rsidR="0023416D" w:rsidRDefault="00ED4C03" w:rsidP="0023416D">
      <w:pPr>
        <w:tabs>
          <w:tab w:val="left" w:pos="7803"/>
        </w:tabs>
        <w:rPr>
          <w:rFonts w:ascii="Tw Cen MT" w:hAnsi="Tw Cen MT"/>
        </w:rPr>
      </w:pPr>
      <w:r>
        <w:rPr>
          <w:rFonts w:ascii="Tw Cen MT" w:hAnsi="Tw Cen MT"/>
          <w:noProof/>
        </w:rPr>
        <mc:AlternateContent>
          <mc:Choice Requires="wps">
            <w:drawing>
              <wp:anchor distT="0" distB="0" distL="114300" distR="114300" simplePos="0" relativeHeight="251673600" behindDoc="0" locked="0" layoutInCell="1" allowOverlap="1" wp14:anchorId="03517B10" wp14:editId="67EAD998">
                <wp:simplePos x="0" y="0"/>
                <wp:positionH relativeFrom="column">
                  <wp:posOffset>3352800</wp:posOffset>
                </wp:positionH>
                <wp:positionV relativeFrom="paragraph">
                  <wp:posOffset>282575</wp:posOffset>
                </wp:positionV>
                <wp:extent cx="3352800" cy="2209800"/>
                <wp:effectExtent l="0" t="0" r="0" b="0"/>
                <wp:wrapNone/>
                <wp:docPr id="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0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55A" w:rsidRPr="00212770" w:rsidRDefault="009F755A" w:rsidP="00952DB7">
                            <w:pPr>
                              <w:jc w:val="both"/>
                              <w:rPr>
                                <w:rFonts w:ascii="Tw Cen MT" w:eastAsia="Times New Roman" w:hAnsi="Tw Cen MT" w:cs="Times New Roman"/>
                                <w:sz w:val="20"/>
                                <w:szCs w:val="20"/>
                              </w:rPr>
                            </w:pPr>
                            <w:r>
                              <w:rPr>
                                <w:noProof/>
                              </w:rPr>
                              <w:drawing>
                                <wp:inline distT="0" distB="0" distL="0" distR="0" wp14:anchorId="45DBBAF7" wp14:editId="19A06A07">
                                  <wp:extent cx="3169920" cy="2123109"/>
                                  <wp:effectExtent l="1905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755A" w:rsidRPr="00B027A2" w:rsidRDefault="009F755A" w:rsidP="00952DB7">
                            <w:pPr>
                              <w:jc w:val="both"/>
                              <w:rPr>
                                <w:rFonts w:ascii="Tw Cen MT" w:hAnsi="Tw Cen MT"/>
                                <w:sz w:val="20"/>
                                <w:szCs w:val="20"/>
                              </w:rPr>
                            </w:pPr>
                          </w:p>
                          <w:p w:rsidR="009F755A" w:rsidRDefault="009F755A" w:rsidP="00952DB7">
                            <w:pPr>
                              <w:jc w:val="both"/>
                              <w:rPr>
                                <w:rFonts w:ascii="Tw Cen MT" w:hAnsi="Tw Cen MT"/>
                                <w:b/>
                                <w:sz w:val="20"/>
                                <w:szCs w:val="20"/>
                              </w:rPr>
                            </w:pPr>
                          </w:p>
                          <w:p w:rsidR="009F755A" w:rsidRPr="00D661A5" w:rsidRDefault="009F755A" w:rsidP="00952DB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264pt;margin-top:22.25pt;width:264pt;height:1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" stroked="f">
                <v:textbox>
                  <w:txbxContent>
                    <w:p w:rsidR="009F755A" w:rsidRPr="00212770" w:rsidRDefault="009F755A" w:rsidP="00952DB7">
                      <w:pPr>
                        <w:jc w:val="both"/>
                        <w:rPr>
                          <w:rFonts w:ascii="Tw Cen MT" w:eastAsia="Times New Roman" w:hAnsi="Tw Cen MT" w:cs="Times New Roman"/>
                          <w:sz w:val="20"/>
                          <w:szCs w:val="20"/>
                        </w:rPr>
                      </w:pPr>
                      <w:r>
                        <w:rPr>
                          <w:noProof/>
                        </w:rPr>
                        <w:drawing>
                          <wp:inline distT="0" distB="0" distL="0" distR="0" wp14:anchorId="45DBBAF7" wp14:editId="19A06A07">
                            <wp:extent cx="3169920" cy="2123109"/>
                            <wp:effectExtent l="1905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755A" w:rsidRPr="00B027A2" w:rsidRDefault="009F755A" w:rsidP="00952DB7">
                      <w:pPr>
                        <w:jc w:val="both"/>
                        <w:rPr>
                          <w:rFonts w:ascii="Tw Cen MT" w:hAnsi="Tw Cen MT"/>
                          <w:sz w:val="20"/>
                          <w:szCs w:val="20"/>
                        </w:rPr>
                      </w:pPr>
                    </w:p>
                    <w:p w:rsidR="009F755A" w:rsidRDefault="009F755A" w:rsidP="00952DB7">
                      <w:pPr>
                        <w:jc w:val="both"/>
                        <w:rPr>
                          <w:rFonts w:ascii="Tw Cen MT" w:hAnsi="Tw Cen MT"/>
                          <w:b/>
                          <w:sz w:val="20"/>
                          <w:szCs w:val="20"/>
                        </w:rPr>
                      </w:pPr>
                    </w:p>
                    <w:p w:rsidR="009F755A" w:rsidRPr="00D661A5" w:rsidRDefault="009F755A" w:rsidP="00952DB7">
                      <w:pPr>
                        <w:rPr>
                          <w:szCs w:val="20"/>
                        </w:rPr>
                      </w:pPr>
                    </w:p>
                  </w:txbxContent>
                </v:textbox>
              </v:shape>
            </w:pict>
          </mc:Fallback>
        </mc:AlternateContent>
      </w:r>
    </w:p>
    <w:p w:rsidR="0023416D" w:rsidRDefault="0023416D" w:rsidP="0023416D">
      <w:pPr>
        <w:tabs>
          <w:tab w:val="left" w:pos="7803"/>
        </w:tabs>
        <w:rPr>
          <w:rFonts w:ascii="Tw Cen MT" w:hAnsi="Tw Cen MT"/>
        </w:rPr>
      </w:pPr>
    </w:p>
    <w:p w:rsidR="0023416D" w:rsidRDefault="0023416D" w:rsidP="0023416D">
      <w:pPr>
        <w:tabs>
          <w:tab w:val="left" w:pos="7803"/>
        </w:tabs>
        <w:rPr>
          <w:rFonts w:ascii="Tw Cen MT" w:hAnsi="Tw Cen MT"/>
        </w:rPr>
      </w:pPr>
    </w:p>
    <w:p w:rsidR="00407F56" w:rsidRDefault="00D63994" w:rsidP="00E42D47">
      <w:pPr>
        <w:tabs>
          <w:tab w:val="left" w:pos="7803"/>
        </w:tabs>
        <w:rPr>
          <w:rFonts w:ascii="Tw Cen MT" w:hAnsi="Tw Cen MT"/>
        </w:rPr>
      </w:pPr>
      <w:r>
        <w:rPr>
          <w:rFonts w:ascii="Tw Cen MT" w:hAnsi="Tw Cen MT"/>
          <w:noProof/>
        </w:rPr>
        <mc:AlternateContent>
          <mc:Choice Requires="wps">
            <w:drawing>
              <wp:anchor distT="0" distB="0" distL="114300" distR="114300" simplePos="0" relativeHeight="251680768" behindDoc="0" locked="0" layoutInCell="1" allowOverlap="1" wp14:anchorId="0683A2AD" wp14:editId="03047768">
                <wp:simplePos x="0" y="0"/>
                <wp:positionH relativeFrom="column">
                  <wp:posOffset>-603250</wp:posOffset>
                </wp:positionH>
                <wp:positionV relativeFrom="paragraph">
                  <wp:posOffset>281940</wp:posOffset>
                </wp:positionV>
                <wp:extent cx="1238250" cy="400050"/>
                <wp:effectExtent l="0" t="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00050"/>
                        </a:xfrm>
                        <a:prstGeom prst="rect">
                          <a:avLst/>
                        </a:prstGeom>
                        <a:solidFill>
                          <a:srgbClr val="8064A2">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55A" w:rsidRPr="00A736D7" w:rsidRDefault="009F755A" w:rsidP="00942680">
                            <w:pPr>
                              <w:spacing w:before="40" w:after="40"/>
                              <w:rPr>
                                <w:rFonts w:cstheme="minorHAnsi"/>
                                <w:b/>
                                <w:color w:val="7030A0"/>
                                <w:sz w:val="18"/>
                              </w:rPr>
                            </w:pPr>
                            <w:r>
                              <w:rPr>
                                <w:rFonts w:cstheme="minorHAnsi"/>
                                <w:b/>
                                <w:color w:val="7030A0"/>
                                <w:sz w:val="18"/>
                              </w:rPr>
                              <w:t>CORPORATE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47.5pt;margin-top:22.2pt;width:97.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" fillcolor="#ccc1da" stroked="f">
                <v:textbox>
                  <w:txbxContent>
                    <w:p w:rsidR="009F755A" w:rsidRPr="00A736D7" w:rsidRDefault="009F755A" w:rsidP="00942680">
                      <w:pPr>
                        <w:spacing w:before="40" w:after="40"/>
                        <w:rPr>
                          <w:rFonts w:cstheme="minorHAnsi"/>
                          <w:b/>
                          <w:color w:val="7030A0"/>
                          <w:sz w:val="18"/>
                        </w:rPr>
                      </w:pPr>
                      <w:r>
                        <w:rPr>
                          <w:rFonts w:cstheme="minorHAnsi"/>
                          <w:b/>
                          <w:color w:val="7030A0"/>
                          <w:sz w:val="18"/>
                        </w:rPr>
                        <w:t>CORPORATE NEWS</w:t>
                      </w:r>
                    </w:p>
                  </w:txbxContent>
                </v:textbox>
              </v:shape>
            </w:pict>
          </mc:Fallback>
        </mc:AlternateContent>
      </w:r>
    </w:p>
    <w:p w:rsidR="00407F56" w:rsidRDefault="00407F56" w:rsidP="008C5CA3">
      <w:pPr>
        <w:rPr>
          <w:rFonts w:ascii="Tw Cen MT" w:hAnsi="Tw Cen MT"/>
        </w:rPr>
      </w:pPr>
    </w:p>
    <w:p w:rsidR="00407F56" w:rsidRPr="00A3418D" w:rsidRDefault="00D63994" w:rsidP="008C5CA3">
      <w:pPr>
        <w:rPr>
          <w:rFonts w:ascii="Tw Cen MT" w:hAnsi="Tw Cen MT"/>
          <w:b/>
        </w:rPr>
      </w:pPr>
      <w:r>
        <w:rPr>
          <w:rFonts w:ascii="Tw Cen MT" w:hAnsi="Tw Cen MT"/>
          <w:noProof/>
        </w:rPr>
        <mc:AlternateContent>
          <mc:Choice Requires="wps">
            <w:drawing>
              <wp:anchor distT="0" distB="0" distL="114300" distR="114300" simplePos="0" relativeHeight="251682816" behindDoc="0" locked="0" layoutInCell="1" allowOverlap="1" wp14:anchorId="0FAAF890" wp14:editId="2D0E620A">
                <wp:simplePos x="0" y="0"/>
                <wp:positionH relativeFrom="column">
                  <wp:posOffset>-752475</wp:posOffset>
                </wp:positionH>
                <wp:positionV relativeFrom="paragraph">
                  <wp:posOffset>125730</wp:posOffset>
                </wp:positionV>
                <wp:extent cx="4038600" cy="1114425"/>
                <wp:effectExtent l="0" t="0" r="0" b="9525"/>
                <wp:wrapNone/>
                <wp:docPr id="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3994" w:rsidRPr="00D63994" w:rsidRDefault="00D63994" w:rsidP="00D63994">
                            <w:pPr>
                              <w:jc w:val="both"/>
                              <w:rPr>
                                <w:rFonts w:ascii="Tw Cen MT" w:eastAsia="Calibri" w:hAnsi="Tw Cen MT" w:cs="Times New Roman"/>
                                <w:sz w:val="20"/>
                                <w:szCs w:val="20"/>
                              </w:rPr>
                            </w:pPr>
                            <w:r w:rsidRPr="00C824A8">
                              <w:rPr>
                                <w:rFonts w:ascii="Tw Cen MT" w:eastAsia="Calibri" w:hAnsi="Tw Cen MT" w:cs="Times New Roman"/>
                                <w:b/>
                                <w:color w:val="5F497A" w:themeColor="accent4" w:themeShade="BF"/>
                                <w:sz w:val="20"/>
                                <w:szCs w:val="20"/>
                              </w:rPr>
                              <w:t xml:space="preserve">ENTERPRISE GROUP LIMITED (EGL) LISTS ADDITIONAL SHARES: </w:t>
                            </w:r>
                            <w:r w:rsidRPr="00D63994">
                              <w:rPr>
                                <w:rFonts w:ascii="Tw Cen MT" w:eastAsia="Calibri" w:hAnsi="Tw Cen MT" w:cs="Times New Roman"/>
                                <w:sz w:val="20"/>
                                <w:szCs w:val="20"/>
                              </w:rPr>
                              <w:t>EGL has increased its ordinary shares to 133,120,825, following the issuance and listing of additional 120,000 ordinary shares. This was as a result of an employee exercising her rights under the Executive Share Option Scheme.</w:t>
                            </w:r>
                          </w:p>
                          <w:p w:rsidR="009F755A" w:rsidRPr="002278A0" w:rsidRDefault="009F755A" w:rsidP="007268B1">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59.25pt;margin-top:9.9pt;width:318pt;height:8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" stroked="f">
                <v:textbox>
                  <w:txbxContent>
                    <w:p w:rsidR="00D63994" w:rsidRPr="00D63994" w:rsidRDefault="00D63994" w:rsidP="00D63994">
                      <w:pPr>
                        <w:jc w:val="both"/>
                        <w:rPr>
                          <w:rFonts w:ascii="Tw Cen MT" w:eastAsia="Calibri" w:hAnsi="Tw Cen MT" w:cs="Times New Roman"/>
                          <w:sz w:val="20"/>
                          <w:szCs w:val="20"/>
                        </w:rPr>
                      </w:pPr>
                      <w:r w:rsidRPr="00C824A8">
                        <w:rPr>
                          <w:rFonts w:ascii="Tw Cen MT" w:eastAsia="Calibri" w:hAnsi="Tw Cen MT" w:cs="Times New Roman"/>
                          <w:b/>
                          <w:color w:val="5F497A" w:themeColor="accent4" w:themeShade="BF"/>
                          <w:sz w:val="20"/>
                          <w:szCs w:val="20"/>
                        </w:rPr>
                        <w:t xml:space="preserve">ENTERPRISE GROUP LIMITED (EGL) LISTS ADDITIONAL SHARES: </w:t>
                      </w:r>
                      <w:r w:rsidRPr="00D63994">
                        <w:rPr>
                          <w:rFonts w:ascii="Tw Cen MT" w:eastAsia="Calibri" w:hAnsi="Tw Cen MT" w:cs="Times New Roman"/>
                          <w:sz w:val="20"/>
                          <w:szCs w:val="20"/>
                        </w:rPr>
                        <w:t>EGL has increased its ordinary shares to 133,120,825, following the issuance and listing of additional 120,000 ordinary shares. This was as a result of an employee exercising her rights under the Executive Share Option Scheme.</w:t>
                      </w:r>
                    </w:p>
                    <w:p w:rsidR="009F755A" w:rsidRPr="002278A0" w:rsidRDefault="009F755A" w:rsidP="007268B1">
                      <w:pPr>
                        <w:rPr>
                          <w:szCs w:val="20"/>
                        </w:rPr>
                      </w:pPr>
                    </w:p>
                  </w:txbxContent>
                </v:textbox>
              </v:shape>
            </w:pict>
          </mc:Fallback>
        </mc:AlternateContent>
      </w:r>
    </w:p>
    <w:p w:rsidR="00407F56" w:rsidRDefault="00407F56" w:rsidP="008C5CA3">
      <w:pPr>
        <w:rPr>
          <w:rFonts w:ascii="Tw Cen MT" w:hAnsi="Tw Cen MT"/>
        </w:rPr>
      </w:pPr>
    </w:p>
    <w:p w:rsidR="00407F56" w:rsidRDefault="00407F56" w:rsidP="008C5CA3">
      <w:pPr>
        <w:rPr>
          <w:rFonts w:ascii="Tw Cen MT" w:hAnsi="Tw Cen MT"/>
        </w:rPr>
      </w:pPr>
    </w:p>
    <w:p w:rsidR="00407F56" w:rsidRPr="008C5CA3" w:rsidRDefault="009F37B5" w:rsidP="008C5CA3">
      <w:pPr>
        <w:rPr>
          <w:rFonts w:ascii="Tw Cen MT" w:hAnsi="Tw Cen MT"/>
        </w:rPr>
      </w:pPr>
      <w:r>
        <w:rPr>
          <w:rFonts w:ascii="Tw Cen MT" w:hAnsi="Tw Cen MT"/>
          <w:noProof/>
        </w:rPr>
        <mc:AlternateContent>
          <mc:Choice Requires="wps">
            <w:drawing>
              <wp:anchor distT="0" distB="0" distL="114300" distR="114300" simplePos="0" relativeHeight="251644928" behindDoc="0" locked="0" layoutInCell="1" allowOverlap="1" wp14:anchorId="15D289B9" wp14:editId="48FA48D6">
                <wp:simplePos x="0" y="0"/>
                <wp:positionH relativeFrom="column">
                  <wp:posOffset>3571875</wp:posOffset>
                </wp:positionH>
                <wp:positionV relativeFrom="paragraph">
                  <wp:posOffset>153035</wp:posOffset>
                </wp:positionV>
                <wp:extent cx="3000375" cy="180975"/>
                <wp:effectExtent l="0" t="0" r="9525" b="9525"/>
                <wp:wrapNone/>
                <wp:docPr id="5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55A" w:rsidRPr="00520BF7" w:rsidRDefault="009F755A" w:rsidP="00952DB7">
                            <w:pPr>
                              <w:jc w:val="center"/>
                              <w:rPr>
                                <w:b/>
                                <w:color w:val="5F497A" w:themeColor="accent4" w:themeShade="BF"/>
                              </w:rPr>
                            </w:pPr>
                            <w:r w:rsidRPr="00520BF7">
                              <w:rPr>
                                <w:rFonts w:ascii="Times New Roman" w:hAnsi="Times New Roman" w:cs="Times New Roman"/>
                                <w:b/>
                                <w:color w:val="5F497A" w:themeColor="accent4" w:themeShade="BF"/>
                                <w:sz w:val="14"/>
                                <w:szCs w:val="16"/>
                              </w:rPr>
                              <w:t>Fig 2: Top 5 most liquid equities with respect to volume traded</w:t>
                            </w:r>
                          </w:p>
                          <w:p w:rsidR="009F755A" w:rsidRPr="00813263" w:rsidRDefault="009F755A" w:rsidP="00952DB7">
                            <w:pPr>
                              <w:pStyle w:val="ListParagraph"/>
                              <w:spacing w:after="60"/>
                              <w:ind w:left="360"/>
                              <w:contextualSpacing w:val="0"/>
                              <w:jc w:val="both"/>
                              <w:rPr>
                                <w:rFonts w:ascii="Tw Cen MT" w:hAnsi="Tw Cen MT"/>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5" type="#_x0000_t202" style="position:absolute;margin-left:281.25pt;margin-top:12.05pt;width:236.25pt;height:14.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" stroked="f">
                <v:textbox>
                  <w:txbxContent>
                    <w:p w:rsidR="00C5722F" w:rsidRPr="00520BF7" w:rsidRDefault="00C5722F" w:rsidP="00952DB7">
                      <w:pPr>
                        <w:jc w:val="center"/>
                        <w:rPr>
                          <w:b/>
                          <w:color w:val="5F497A" w:themeColor="accent4" w:themeShade="BF"/>
                        </w:rPr>
                      </w:pPr>
                      <w:r w:rsidRPr="00520BF7">
                        <w:rPr>
                          <w:rFonts w:ascii="Times New Roman" w:hAnsi="Times New Roman" w:cs="Times New Roman"/>
                          <w:b/>
                          <w:color w:val="5F497A" w:themeColor="accent4" w:themeShade="BF"/>
                          <w:sz w:val="14"/>
                          <w:szCs w:val="16"/>
                        </w:rPr>
                        <w:t>Fig 2: Top 5 most liquid equities with respect to volume traded</w:t>
                      </w:r>
                    </w:p>
                    <w:p w:rsidR="00C5722F" w:rsidRPr="00813263" w:rsidRDefault="00C5722F" w:rsidP="00952DB7">
                      <w:pPr>
                        <w:pStyle w:val="ListParagraph"/>
                        <w:spacing w:after="60"/>
                        <w:ind w:left="360"/>
                        <w:contextualSpacing w:val="0"/>
                        <w:jc w:val="both"/>
                        <w:rPr>
                          <w:rFonts w:ascii="Tw Cen MT" w:hAnsi="Tw Cen MT"/>
                          <w:b/>
                          <w:sz w:val="20"/>
                        </w:rPr>
                      </w:pPr>
                    </w:p>
                  </w:txbxContent>
                </v:textbox>
              </v:shape>
            </w:pict>
          </mc:Fallback>
        </mc:AlternateContent>
      </w:r>
    </w:p>
    <w:p w:rsidR="008C5CA3" w:rsidRPr="008C5CA3" w:rsidRDefault="008C5CA3" w:rsidP="008C5CA3">
      <w:pPr>
        <w:rPr>
          <w:rFonts w:ascii="Tw Cen MT" w:hAnsi="Tw Cen MT"/>
        </w:rPr>
      </w:pPr>
    </w:p>
    <w:p w:rsidR="008C5CA3" w:rsidRPr="008C5CA3" w:rsidRDefault="008C5CA3" w:rsidP="008C5CA3">
      <w:pPr>
        <w:rPr>
          <w:rFonts w:ascii="Tw Cen MT" w:hAnsi="Tw Cen MT"/>
        </w:rPr>
      </w:pPr>
    </w:p>
    <w:p w:rsidR="008C5CA3" w:rsidRDefault="008C5CA3" w:rsidP="008C5CA3">
      <w:pPr>
        <w:rPr>
          <w:rFonts w:ascii="Tw Cen MT" w:hAnsi="Tw Cen MT"/>
        </w:rPr>
      </w:pPr>
    </w:p>
    <w:tbl>
      <w:tblPr>
        <w:tblStyle w:val="LightShading-Accent4"/>
        <w:tblpPr w:leftFromText="180" w:rightFromText="180" w:vertAnchor="text" w:horzAnchor="margin" w:tblpXSpec="center" w:tblpY="-516"/>
        <w:tblW w:w="10521" w:type="dxa"/>
        <w:tblLook w:val="04A0" w:firstRow="1" w:lastRow="0" w:firstColumn="1" w:lastColumn="0" w:noHBand="0" w:noVBand="1"/>
      </w:tblPr>
      <w:tblGrid>
        <w:gridCol w:w="3440"/>
        <w:gridCol w:w="214"/>
        <w:gridCol w:w="1143"/>
        <w:gridCol w:w="1885"/>
        <w:gridCol w:w="2024"/>
        <w:gridCol w:w="1815"/>
      </w:tblGrid>
      <w:tr w:rsidR="00745343" w:rsidRPr="00497D12" w:rsidTr="00012FC0">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440" w:type="dxa"/>
            <w:hideMark/>
          </w:tcPr>
          <w:p w:rsidR="00745343" w:rsidRPr="00497D12" w:rsidRDefault="00745343" w:rsidP="00745343">
            <w:pPr>
              <w:jc w:val="center"/>
              <w:rPr>
                <w:rFonts w:ascii="Arial" w:eastAsia="Times New Roman" w:hAnsi="Arial" w:cs="Arial"/>
                <w:sz w:val="16"/>
                <w:szCs w:val="16"/>
              </w:rPr>
            </w:pPr>
            <w:r w:rsidRPr="00497D12">
              <w:rPr>
                <w:rFonts w:ascii="Arial" w:eastAsia="Times New Roman" w:hAnsi="Arial" w:cs="Arial"/>
                <w:sz w:val="16"/>
                <w:szCs w:val="16"/>
              </w:rPr>
              <w:lastRenderedPageBreak/>
              <w:t>Stock</w:t>
            </w:r>
          </w:p>
        </w:tc>
        <w:tc>
          <w:tcPr>
            <w:tcW w:w="1357" w:type="dxa"/>
            <w:gridSpan w:val="2"/>
            <w:hideMark/>
          </w:tcPr>
          <w:p w:rsidR="00745343" w:rsidRPr="00497D12" w:rsidRDefault="00745343" w:rsidP="007453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Ticker</w:t>
            </w:r>
          </w:p>
        </w:tc>
        <w:tc>
          <w:tcPr>
            <w:tcW w:w="1885" w:type="dxa"/>
            <w:hideMark/>
          </w:tcPr>
          <w:p w:rsidR="00745343" w:rsidRPr="00497D12" w:rsidRDefault="00745343" w:rsidP="007453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Year  Opening Price(GH¢)</w:t>
            </w:r>
          </w:p>
        </w:tc>
        <w:tc>
          <w:tcPr>
            <w:tcW w:w="2024" w:type="dxa"/>
            <w:hideMark/>
          </w:tcPr>
          <w:p w:rsidR="00745343" w:rsidRPr="00497D12" w:rsidRDefault="00745343" w:rsidP="00AA53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 xml:space="preserve">Closing Price @ </w:t>
            </w:r>
            <w:r w:rsidR="00AA5327">
              <w:rPr>
                <w:rFonts w:ascii="Arial" w:eastAsia="Times New Roman" w:hAnsi="Arial" w:cs="Arial"/>
                <w:sz w:val="16"/>
                <w:szCs w:val="16"/>
              </w:rPr>
              <w:t>23</w:t>
            </w:r>
            <w:r>
              <w:rPr>
                <w:rFonts w:ascii="Arial" w:eastAsia="Times New Roman" w:hAnsi="Arial" w:cs="Arial"/>
                <w:sz w:val="16"/>
                <w:szCs w:val="16"/>
              </w:rPr>
              <w:t>/0</w:t>
            </w:r>
            <w:r w:rsidR="00E44A0F">
              <w:rPr>
                <w:rFonts w:ascii="Arial" w:eastAsia="Times New Roman" w:hAnsi="Arial" w:cs="Arial"/>
                <w:sz w:val="16"/>
                <w:szCs w:val="16"/>
              </w:rPr>
              <w:t>9</w:t>
            </w:r>
            <w:r>
              <w:rPr>
                <w:rFonts w:ascii="Arial" w:eastAsia="Times New Roman" w:hAnsi="Arial" w:cs="Arial"/>
                <w:sz w:val="16"/>
                <w:szCs w:val="16"/>
              </w:rPr>
              <w:t>/2015</w:t>
            </w:r>
            <w:r w:rsidRPr="00497D12">
              <w:rPr>
                <w:rFonts w:ascii="Arial" w:eastAsia="Times New Roman" w:hAnsi="Arial" w:cs="Arial"/>
                <w:sz w:val="16"/>
                <w:szCs w:val="16"/>
              </w:rPr>
              <w:t xml:space="preserve"> (GH¢)</w:t>
            </w:r>
          </w:p>
        </w:tc>
        <w:tc>
          <w:tcPr>
            <w:tcW w:w="1815" w:type="dxa"/>
            <w:hideMark/>
          </w:tcPr>
          <w:p w:rsidR="00745343" w:rsidRPr="00497D12" w:rsidRDefault="00745343" w:rsidP="007453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YTD Gain/Loss (%)</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African Champion Industries Ltd.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ACI</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0.02</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0.02</w:t>
            </w:r>
          </w:p>
        </w:tc>
        <w:tc>
          <w:tcPr>
            <w:tcW w:w="1815" w:type="dxa"/>
            <w:noWrap/>
            <w:vAlign w:val="bottom"/>
            <w:hideMark/>
          </w:tcPr>
          <w:p w:rsid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AngloGold Ashanti Ltd.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AGA</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3171">
              <w:rPr>
                <w:rFonts w:ascii="Arial" w:hAnsi="Arial" w:cs="Arial"/>
                <w:sz w:val="16"/>
                <w:szCs w:val="16"/>
              </w:rPr>
              <w:t>37.00</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37.00</w:t>
            </w:r>
          </w:p>
        </w:tc>
        <w:tc>
          <w:tcPr>
            <w:tcW w:w="1815" w:type="dxa"/>
            <w:noWrap/>
            <w:vAlign w:val="bottom"/>
            <w:hideMark/>
          </w:tcPr>
          <w:p w:rsid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Aluworks Limited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ALW</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0.02</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0.06</w:t>
            </w:r>
          </w:p>
        </w:tc>
        <w:tc>
          <w:tcPr>
            <w:tcW w:w="1815" w:type="dxa"/>
            <w:noWrap/>
            <w:vAlign w:val="bottom"/>
            <w:hideMark/>
          </w:tcPr>
          <w:p w:rsid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color w:val="00B050"/>
                <w:sz w:val="16"/>
                <w:szCs w:val="16"/>
              </w:rPr>
              <w:t>200.00%</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Ayrton Drug Manufacturing Ltd.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AYRTN</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0.18</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0.18</w:t>
            </w:r>
          </w:p>
        </w:tc>
        <w:tc>
          <w:tcPr>
            <w:tcW w:w="1815" w:type="dxa"/>
            <w:noWrap/>
            <w:vAlign w:val="bottom"/>
            <w:hideMark/>
          </w:tcPr>
          <w:p w:rsid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Benso Oil Palm Plantation</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BOPP</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4.10</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4.00</w:t>
            </w:r>
          </w:p>
        </w:tc>
        <w:tc>
          <w:tcPr>
            <w:tcW w:w="1815" w:type="dxa"/>
            <w:noWrap/>
            <w:vAlign w:val="bottom"/>
            <w:hideMark/>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-2.44%</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Cal Bank Ltd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CAL</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1.01</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0.84</w:t>
            </w:r>
          </w:p>
        </w:tc>
        <w:tc>
          <w:tcPr>
            <w:tcW w:w="1815" w:type="dxa"/>
            <w:noWrap/>
            <w:vAlign w:val="bottom"/>
            <w:hideMark/>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-16.83%</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proofErr w:type="spellStart"/>
            <w:r w:rsidRPr="00497D12">
              <w:rPr>
                <w:rFonts w:ascii="Arial" w:eastAsia="Times New Roman" w:hAnsi="Arial" w:cs="Arial"/>
                <w:b w:val="0"/>
                <w:sz w:val="16"/>
                <w:szCs w:val="16"/>
              </w:rPr>
              <w:t>Clydestone</w:t>
            </w:r>
            <w:proofErr w:type="spellEnd"/>
            <w:r w:rsidRPr="00497D12">
              <w:rPr>
                <w:rFonts w:ascii="Arial" w:eastAsia="Times New Roman" w:hAnsi="Arial" w:cs="Arial"/>
                <w:b w:val="0"/>
                <w:sz w:val="16"/>
                <w:szCs w:val="16"/>
              </w:rPr>
              <w:t xml:space="preserve"> (Ghana) Ltd.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CLYD</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0.03</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0.03</w:t>
            </w:r>
          </w:p>
        </w:tc>
        <w:tc>
          <w:tcPr>
            <w:tcW w:w="1815" w:type="dxa"/>
            <w:noWrap/>
            <w:vAlign w:val="bottom"/>
            <w:hideMark/>
          </w:tcPr>
          <w:p w:rsid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Camelot  Ghana Ltd.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CMLT</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0.12</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0.12</w:t>
            </w:r>
          </w:p>
        </w:tc>
        <w:tc>
          <w:tcPr>
            <w:tcW w:w="1815" w:type="dxa"/>
            <w:noWrap/>
            <w:vAlign w:val="bottom"/>
            <w:hideMark/>
          </w:tcPr>
          <w:p w:rsid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Cocoa Processing Co. Ltd.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CPC</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3171">
              <w:rPr>
                <w:rFonts w:ascii="Arial" w:hAnsi="Arial" w:cs="Arial"/>
                <w:sz w:val="16"/>
                <w:szCs w:val="16"/>
              </w:rPr>
              <w:t>0.02</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0.02</w:t>
            </w:r>
          </w:p>
        </w:tc>
        <w:tc>
          <w:tcPr>
            <w:tcW w:w="1815" w:type="dxa"/>
            <w:noWrap/>
            <w:vAlign w:val="bottom"/>
            <w:hideMark/>
          </w:tcPr>
          <w:p w:rsid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Ecobank Ghana Ltd.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EBG</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7.60</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7.84</w:t>
            </w:r>
          </w:p>
        </w:tc>
        <w:tc>
          <w:tcPr>
            <w:tcW w:w="1815" w:type="dxa"/>
            <w:noWrap/>
            <w:vAlign w:val="bottom"/>
            <w:hideMark/>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3.16%</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Enterprise Group Limited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EGL</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1.75</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2.20</w:t>
            </w:r>
          </w:p>
        </w:tc>
        <w:tc>
          <w:tcPr>
            <w:tcW w:w="1815" w:type="dxa"/>
            <w:noWrap/>
            <w:vAlign w:val="bottom"/>
            <w:hideMark/>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25.71%</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Ecobank Transnational Inc.</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ETI</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0.28</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0.30</w:t>
            </w:r>
          </w:p>
        </w:tc>
        <w:tc>
          <w:tcPr>
            <w:tcW w:w="1815" w:type="dxa"/>
            <w:noWrap/>
            <w:vAlign w:val="bottom"/>
            <w:hideMark/>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7.14%</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Fan Milk Ltd.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FML</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5.25</w:t>
            </w:r>
          </w:p>
        </w:tc>
        <w:tc>
          <w:tcPr>
            <w:tcW w:w="2024" w:type="dxa"/>
            <w:noWrap/>
            <w:vAlign w:val="center"/>
            <w:hideMark/>
          </w:tcPr>
          <w:p w:rsidR="00405B5E" w:rsidRPr="00497D12" w:rsidRDefault="00405B5E" w:rsidP="00EE0C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6.78</w:t>
            </w:r>
          </w:p>
        </w:tc>
        <w:tc>
          <w:tcPr>
            <w:tcW w:w="1815" w:type="dxa"/>
            <w:noWrap/>
            <w:vAlign w:val="bottom"/>
            <w:hideMark/>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29.14%</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Ghana Commercial Bank Ltd.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GCB</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5.30</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3.39</w:t>
            </w:r>
          </w:p>
        </w:tc>
        <w:tc>
          <w:tcPr>
            <w:tcW w:w="1815" w:type="dxa"/>
            <w:noWrap/>
            <w:vAlign w:val="bottom"/>
            <w:hideMark/>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-30.38%</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Guinness Ghana Breweries Ltd.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GGBL</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3.20</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2.19</w:t>
            </w:r>
          </w:p>
        </w:tc>
        <w:tc>
          <w:tcPr>
            <w:tcW w:w="1815" w:type="dxa"/>
            <w:noWrap/>
            <w:vAlign w:val="bottom"/>
            <w:hideMark/>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-31.56%</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Ghana Oil Company Limited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GOIL</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1.05</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1.40</w:t>
            </w:r>
          </w:p>
        </w:tc>
        <w:tc>
          <w:tcPr>
            <w:tcW w:w="1815" w:type="dxa"/>
            <w:noWrap/>
            <w:vAlign w:val="bottom"/>
            <w:hideMark/>
          </w:tcPr>
          <w:p w:rsid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color w:val="00B050"/>
                <w:sz w:val="16"/>
                <w:szCs w:val="16"/>
              </w:rPr>
              <w:t>33.33%</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Golden Star Resources Ltd.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GSR</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2.34</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1.99</w:t>
            </w:r>
          </w:p>
        </w:tc>
        <w:tc>
          <w:tcPr>
            <w:tcW w:w="1815" w:type="dxa"/>
            <w:noWrap/>
            <w:vAlign w:val="bottom"/>
            <w:hideMark/>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-14.96%</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Golden Web Ltd.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GWEB</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0.03</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0.02</w:t>
            </w:r>
          </w:p>
        </w:tc>
        <w:tc>
          <w:tcPr>
            <w:tcW w:w="1815" w:type="dxa"/>
            <w:noWrap/>
            <w:vAlign w:val="bottom"/>
            <w:hideMark/>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-33.33%</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HFC Bank (Ghana) Ltd.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HFC</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1.50</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1.01</w:t>
            </w:r>
          </w:p>
        </w:tc>
        <w:tc>
          <w:tcPr>
            <w:tcW w:w="1815" w:type="dxa"/>
            <w:noWrap/>
            <w:vAlign w:val="bottom"/>
            <w:hideMark/>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-32.67%</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E34DC1" w:rsidRDefault="00405B5E" w:rsidP="00745343">
            <w:pPr>
              <w:rPr>
                <w:rFonts w:ascii="Arial" w:eastAsia="Times New Roman" w:hAnsi="Arial" w:cs="Arial"/>
                <w:b w:val="0"/>
                <w:sz w:val="16"/>
                <w:szCs w:val="16"/>
              </w:rPr>
            </w:pPr>
            <w:r w:rsidRPr="00E34DC1">
              <w:rPr>
                <w:rFonts w:ascii="Arial" w:eastAsia="Times New Roman" w:hAnsi="Arial" w:cs="Arial"/>
                <w:b w:val="0"/>
                <w:sz w:val="16"/>
                <w:szCs w:val="16"/>
              </w:rPr>
              <w:t>Mega Africa Capital Ltd</w:t>
            </w:r>
          </w:p>
        </w:tc>
        <w:tc>
          <w:tcPr>
            <w:tcW w:w="1143" w:type="dxa"/>
            <w:vAlign w:val="center"/>
            <w:hideMark/>
          </w:tcPr>
          <w:p w:rsidR="00405B5E" w:rsidRPr="00E34DC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MAC</w:t>
            </w:r>
          </w:p>
        </w:tc>
        <w:tc>
          <w:tcPr>
            <w:tcW w:w="1885" w:type="dxa"/>
            <w:noWrap/>
            <w:vAlign w:val="center"/>
            <w:hideMark/>
          </w:tcPr>
          <w:p w:rsidR="00405B5E" w:rsidRPr="00E34DC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4.50</w:t>
            </w:r>
          </w:p>
        </w:tc>
        <w:tc>
          <w:tcPr>
            <w:tcW w:w="2024" w:type="dxa"/>
            <w:noWrap/>
            <w:vAlign w:val="center"/>
            <w:hideMark/>
          </w:tcPr>
          <w:p w:rsidR="00405B5E" w:rsidRPr="00E34DC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5.50</w:t>
            </w:r>
          </w:p>
        </w:tc>
        <w:tc>
          <w:tcPr>
            <w:tcW w:w="1815" w:type="dxa"/>
            <w:noWrap/>
            <w:vAlign w:val="bottom"/>
            <w:hideMark/>
          </w:tcPr>
          <w:p w:rsid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color w:val="00B050"/>
                <w:sz w:val="16"/>
                <w:szCs w:val="16"/>
              </w:rPr>
              <w:t>22.22%</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Mechanical Lloyd  Co. Ltd.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MLC</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0.28</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0.15</w:t>
            </w:r>
          </w:p>
        </w:tc>
        <w:tc>
          <w:tcPr>
            <w:tcW w:w="1815" w:type="dxa"/>
            <w:noWrap/>
            <w:vAlign w:val="bottom"/>
            <w:hideMark/>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-46.43%</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Pioneer Kitchenware Ltd.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PKL</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3171">
              <w:rPr>
                <w:rFonts w:ascii="Arial" w:hAnsi="Arial" w:cs="Arial"/>
                <w:sz w:val="16"/>
                <w:szCs w:val="16"/>
              </w:rPr>
              <w:t>0.06</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0.05</w:t>
            </w:r>
          </w:p>
        </w:tc>
        <w:tc>
          <w:tcPr>
            <w:tcW w:w="1815" w:type="dxa"/>
            <w:noWrap/>
            <w:vAlign w:val="bottom"/>
            <w:hideMark/>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-16.67%</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Produce Buying Company Ltd.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PBC</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0.12</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0.10</w:t>
            </w:r>
          </w:p>
        </w:tc>
        <w:tc>
          <w:tcPr>
            <w:tcW w:w="1815" w:type="dxa"/>
            <w:noWrap/>
            <w:vAlign w:val="bottom"/>
            <w:hideMark/>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-16.67%</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PZ Cussons Ghana Ltd.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PZ</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0.30</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0.34</w:t>
            </w:r>
          </w:p>
        </w:tc>
        <w:tc>
          <w:tcPr>
            <w:tcW w:w="1815" w:type="dxa"/>
            <w:noWrap/>
            <w:vAlign w:val="bottom"/>
            <w:hideMark/>
          </w:tcPr>
          <w:p w:rsid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color w:val="00B050"/>
                <w:sz w:val="16"/>
                <w:szCs w:val="16"/>
              </w:rPr>
              <w:t>13.33%</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Standard Chartered Bank (GH) Ltd.</w:t>
            </w:r>
            <w:r w:rsidRPr="00497D12">
              <w:rPr>
                <w:rFonts w:ascii="Arial" w:eastAsia="Times New Roman" w:hAnsi="Arial" w:cs="Arial"/>
                <w:b w:val="0"/>
                <w:sz w:val="16"/>
                <w:szCs w:val="16"/>
                <w:vertAlign w:val="superscript"/>
              </w:rPr>
              <w:t>*</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SCB</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20.35</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16.26</w:t>
            </w:r>
          </w:p>
        </w:tc>
        <w:tc>
          <w:tcPr>
            <w:tcW w:w="1815" w:type="dxa"/>
            <w:noWrap/>
            <w:vAlign w:val="bottom"/>
            <w:hideMark/>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-20.10%</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SIC Insurance Company Ltd.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SIC</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0.37</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0.12</w:t>
            </w:r>
          </w:p>
        </w:tc>
        <w:tc>
          <w:tcPr>
            <w:tcW w:w="1815" w:type="dxa"/>
            <w:noWrap/>
            <w:vAlign w:val="bottom"/>
            <w:hideMark/>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-67.57%</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Starwin Products Ltd.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SPL</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0.02</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0.04</w:t>
            </w:r>
          </w:p>
        </w:tc>
        <w:tc>
          <w:tcPr>
            <w:tcW w:w="1815" w:type="dxa"/>
            <w:noWrap/>
            <w:vAlign w:val="bottom"/>
            <w:hideMark/>
          </w:tcPr>
          <w:p w:rsid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color w:val="00B050"/>
                <w:sz w:val="16"/>
                <w:szCs w:val="16"/>
              </w:rPr>
              <w:t>100.00%</w:t>
            </w:r>
          </w:p>
        </w:tc>
      </w:tr>
      <w:tr w:rsidR="00405B5E" w:rsidRPr="00BD73B3"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proofErr w:type="spellStart"/>
            <w:r>
              <w:rPr>
                <w:rFonts w:ascii="Arial" w:eastAsia="Times New Roman" w:hAnsi="Arial" w:cs="Arial"/>
                <w:b w:val="0"/>
                <w:sz w:val="16"/>
                <w:szCs w:val="16"/>
              </w:rPr>
              <w:t>Societe</w:t>
            </w:r>
            <w:proofErr w:type="spellEnd"/>
            <w:r>
              <w:rPr>
                <w:rFonts w:ascii="Arial" w:eastAsia="Times New Roman" w:hAnsi="Arial" w:cs="Arial"/>
                <w:b w:val="0"/>
                <w:sz w:val="16"/>
                <w:szCs w:val="16"/>
              </w:rPr>
              <w:t xml:space="preserve"> </w:t>
            </w:r>
            <w:proofErr w:type="spellStart"/>
            <w:r>
              <w:rPr>
                <w:rFonts w:ascii="Arial" w:eastAsia="Times New Roman" w:hAnsi="Arial" w:cs="Arial"/>
                <w:b w:val="0"/>
                <w:sz w:val="16"/>
                <w:szCs w:val="16"/>
              </w:rPr>
              <w:t>Generale</w:t>
            </w:r>
            <w:proofErr w:type="spellEnd"/>
            <w:r>
              <w:rPr>
                <w:rFonts w:ascii="Arial" w:eastAsia="Times New Roman" w:hAnsi="Arial" w:cs="Arial"/>
                <w:b w:val="0"/>
                <w:sz w:val="16"/>
                <w:szCs w:val="16"/>
              </w:rPr>
              <w:t xml:space="preserve"> Ghana Limited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SOGEGH</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1.00</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0.80</w:t>
            </w:r>
          </w:p>
        </w:tc>
        <w:tc>
          <w:tcPr>
            <w:tcW w:w="1815" w:type="dxa"/>
            <w:noWrap/>
            <w:vAlign w:val="bottom"/>
            <w:hideMark/>
          </w:tcPr>
          <w:p w:rsid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color w:val="FF0000"/>
                <w:sz w:val="16"/>
                <w:szCs w:val="16"/>
              </w:rPr>
              <w:t>-20.00%</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Sam Woode Ltd.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SWL</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0.04</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0.04</w:t>
            </w:r>
          </w:p>
        </w:tc>
        <w:tc>
          <w:tcPr>
            <w:tcW w:w="1815" w:type="dxa"/>
            <w:noWrap/>
            <w:vAlign w:val="bottom"/>
            <w:hideMark/>
          </w:tcPr>
          <w:p w:rsid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Trust Bank Ltd. (The Gambia)</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TBL</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0.24</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0.35</w:t>
            </w:r>
          </w:p>
        </w:tc>
        <w:tc>
          <w:tcPr>
            <w:tcW w:w="1815" w:type="dxa"/>
            <w:noWrap/>
            <w:vAlign w:val="bottom"/>
            <w:hideMark/>
          </w:tcPr>
          <w:p w:rsid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5B5E">
              <w:rPr>
                <w:rFonts w:ascii="Arial" w:hAnsi="Arial" w:cs="Arial"/>
                <w:color w:val="00B050"/>
                <w:sz w:val="16"/>
                <w:szCs w:val="16"/>
              </w:rPr>
              <w:t>45.83%</w:t>
            </w:r>
          </w:p>
        </w:tc>
      </w:tr>
      <w:tr w:rsidR="00405B5E" w:rsidRPr="0032738F"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Total Petroleum Ghana Ltd.</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TOTAL</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6.10</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5.37</w:t>
            </w:r>
          </w:p>
        </w:tc>
        <w:tc>
          <w:tcPr>
            <w:tcW w:w="1815" w:type="dxa"/>
            <w:noWrap/>
            <w:vAlign w:val="bottom"/>
            <w:hideMark/>
          </w:tcPr>
          <w:p w:rsid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color w:val="FF0000"/>
                <w:sz w:val="16"/>
                <w:szCs w:val="16"/>
              </w:rPr>
              <w:t>-11.97%</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Transaction Solutions (Ghana) Ltd.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TRANSOL</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3171">
              <w:rPr>
                <w:rFonts w:ascii="Arial" w:hAnsi="Arial" w:cs="Arial"/>
                <w:sz w:val="16"/>
                <w:szCs w:val="16"/>
              </w:rPr>
              <w:t>0.03</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0.03</w:t>
            </w:r>
          </w:p>
        </w:tc>
        <w:tc>
          <w:tcPr>
            <w:tcW w:w="1815" w:type="dxa"/>
            <w:noWrap/>
            <w:vAlign w:val="bottom"/>
            <w:hideMark/>
          </w:tcPr>
          <w:p w:rsid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Tullow Oil Plc</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TLW</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34.99</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32.89</w:t>
            </w:r>
          </w:p>
        </w:tc>
        <w:tc>
          <w:tcPr>
            <w:tcW w:w="1815" w:type="dxa"/>
            <w:noWrap/>
            <w:vAlign w:val="bottom"/>
            <w:hideMark/>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-6.00%</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Unilever Ghana Ltd.</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UNIL</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10.70</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7.65</w:t>
            </w:r>
          </w:p>
        </w:tc>
        <w:tc>
          <w:tcPr>
            <w:tcW w:w="1815" w:type="dxa"/>
            <w:noWrap/>
            <w:vAlign w:val="bottom"/>
            <w:hideMark/>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-28.50%</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UT Bank</w:t>
            </w:r>
          </w:p>
        </w:tc>
        <w:tc>
          <w:tcPr>
            <w:tcW w:w="1143" w:type="dxa"/>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UTB</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0.25</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0.10</w:t>
            </w:r>
          </w:p>
        </w:tc>
        <w:tc>
          <w:tcPr>
            <w:tcW w:w="1815" w:type="dxa"/>
            <w:noWrap/>
            <w:vAlign w:val="bottom"/>
            <w:hideMark/>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405B5E">
              <w:rPr>
                <w:rFonts w:ascii="Arial" w:hAnsi="Arial" w:cs="Arial"/>
                <w:color w:val="FF0000"/>
                <w:sz w:val="16"/>
                <w:szCs w:val="16"/>
              </w:rPr>
              <w:t>-60.00%</w:t>
            </w:r>
          </w:p>
        </w:tc>
      </w:tr>
      <w:tr w:rsidR="00405B5E" w:rsidRPr="00497D12" w:rsidTr="00012FC0">
        <w:trPr>
          <w:trHeight w:val="293"/>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AngloGold Ashanti Depository Shares</w:t>
            </w:r>
          </w:p>
        </w:tc>
        <w:tc>
          <w:tcPr>
            <w:tcW w:w="1143" w:type="dxa"/>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AADS</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03171">
              <w:rPr>
                <w:rFonts w:ascii="Arial" w:hAnsi="Arial" w:cs="Arial"/>
                <w:sz w:val="16"/>
                <w:szCs w:val="16"/>
              </w:rPr>
              <w:t>0.52</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0.52</w:t>
            </w:r>
          </w:p>
        </w:tc>
        <w:tc>
          <w:tcPr>
            <w:tcW w:w="1815" w:type="dxa"/>
            <w:noWrap/>
            <w:vAlign w:val="bottom"/>
            <w:hideMark/>
          </w:tcPr>
          <w:p w:rsid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405B5E" w:rsidRPr="000D06B4" w:rsidTr="00012FC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r w:rsidRPr="00497D12">
              <w:rPr>
                <w:rFonts w:ascii="Arial" w:eastAsia="Times New Roman" w:hAnsi="Arial" w:cs="Arial"/>
                <w:b w:val="0"/>
                <w:sz w:val="16"/>
                <w:szCs w:val="16"/>
              </w:rPr>
              <w:t>Standard Chartered Bank Preference shares</w:t>
            </w:r>
          </w:p>
        </w:tc>
        <w:tc>
          <w:tcPr>
            <w:tcW w:w="1143"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SCB PREF</w:t>
            </w:r>
          </w:p>
        </w:tc>
        <w:tc>
          <w:tcPr>
            <w:tcW w:w="1885" w:type="dxa"/>
            <w:noWrap/>
            <w:vAlign w:val="center"/>
            <w:hideMark/>
          </w:tcPr>
          <w:p w:rsidR="00405B5E" w:rsidRPr="00403171"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0.58</w:t>
            </w:r>
          </w:p>
        </w:tc>
        <w:tc>
          <w:tcPr>
            <w:tcW w:w="2024" w:type="dxa"/>
            <w:noWrap/>
            <w:vAlign w:val="center"/>
            <w:hideMark/>
          </w:tcPr>
          <w:p w:rsidR="00405B5E" w:rsidRPr="00497D12" w:rsidRDefault="00405B5E" w:rsidP="0074534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0.69</w:t>
            </w:r>
          </w:p>
        </w:tc>
        <w:tc>
          <w:tcPr>
            <w:tcW w:w="1815" w:type="dxa"/>
            <w:noWrap/>
            <w:vAlign w:val="bottom"/>
            <w:hideMark/>
          </w:tcPr>
          <w:p w:rsidR="00405B5E" w:rsidRP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18.97%</w:t>
            </w:r>
          </w:p>
        </w:tc>
      </w:tr>
      <w:tr w:rsidR="00405B5E" w:rsidRPr="00497D12" w:rsidTr="00012FC0">
        <w:trPr>
          <w:trHeight w:val="314"/>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hideMark/>
          </w:tcPr>
          <w:p w:rsidR="00405B5E" w:rsidRPr="00497D12" w:rsidRDefault="00405B5E" w:rsidP="00745343">
            <w:pPr>
              <w:rPr>
                <w:rFonts w:ascii="Arial" w:eastAsia="Times New Roman" w:hAnsi="Arial" w:cs="Arial"/>
                <w:b w:val="0"/>
                <w:sz w:val="16"/>
                <w:szCs w:val="16"/>
              </w:rPr>
            </w:pPr>
            <w:proofErr w:type="spellStart"/>
            <w:r w:rsidRPr="00497D12">
              <w:rPr>
                <w:rFonts w:ascii="Arial" w:eastAsia="Times New Roman" w:hAnsi="Arial" w:cs="Arial"/>
                <w:b w:val="0"/>
                <w:sz w:val="16"/>
                <w:szCs w:val="16"/>
              </w:rPr>
              <w:t>NewGold</w:t>
            </w:r>
            <w:proofErr w:type="spellEnd"/>
            <w:r w:rsidRPr="00497D12">
              <w:rPr>
                <w:rFonts w:ascii="Arial" w:eastAsia="Times New Roman" w:hAnsi="Arial" w:cs="Arial"/>
                <w:b w:val="0"/>
                <w:sz w:val="16"/>
                <w:szCs w:val="16"/>
              </w:rPr>
              <w:t xml:space="preserve"> Exchange Traded Fund</w:t>
            </w:r>
          </w:p>
        </w:tc>
        <w:tc>
          <w:tcPr>
            <w:tcW w:w="1143"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97D12">
              <w:rPr>
                <w:rFonts w:ascii="Arial" w:eastAsia="Times New Roman" w:hAnsi="Arial" w:cs="Arial"/>
                <w:sz w:val="16"/>
                <w:szCs w:val="16"/>
              </w:rPr>
              <w:t>GLD</w:t>
            </w:r>
          </w:p>
        </w:tc>
        <w:tc>
          <w:tcPr>
            <w:tcW w:w="1885" w:type="dxa"/>
            <w:noWrap/>
            <w:vAlign w:val="center"/>
            <w:hideMark/>
          </w:tcPr>
          <w:p w:rsidR="00405B5E" w:rsidRPr="00403171"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35.80</w:t>
            </w:r>
          </w:p>
        </w:tc>
        <w:tc>
          <w:tcPr>
            <w:tcW w:w="2024" w:type="dxa"/>
            <w:noWrap/>
            <w:vAlign w:val="center"/>
            <w:hideMark/>
          </w:tcPr>
          <w:p w:rsidR="00405B5E" w:rsidRPr="00497D12" w:rsidRDefault="00405B5E" w:rsidP="0074534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39.95</w:t>
            </w:r>
          </w:p>
        </w:tc>
        <w:tc>
          <w:tcPr>
            <w:tcW w:w="1815" w:type="dxa"/>
            <w:noWrap/>
            <w:vAlign w:val="bottom"/>
            <w:hideMark/>
          </w:tcPr>
          <w:p w:rsidR="00405B5E" w:rsidRP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B050"/>
                <w:sz w:val="16"/>
                <w:szCs w:val="16"/>
              </w:rPr>
            </w:pPr>
            <w:r w:rsidRPr="00405B5E">
              <w:rPr>
                <w:rFonts w:ascii="Arial" w:hAnsi="Arial" w:cs="Arial"/>
                <w:color w:val="00B050"/>
                <w:sz w:val="16"/>
                <w:szCs w:val="16"/>
              </w:rPr>
              <w:t>11.59%</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tcPr>
          <w:p w:rsidR="00405B5E" w:rsidRPr="00F64773" w:rsidRDefault="00405B5E" w:rsidP="00F64773">
            <w:pPr>
              <w:rPr>
                <w:rFonts w:ascii="Arial" w:eastAsia="Times New Roman" w:hAnsi="Arial" w:cs="Arial"/>
                <w:b w:val="0"/>
                <w:sz w:val="16"/>
                <w:szCs w:val="16"/>
              </w:rPr>
            </w:pPr>
            <w:r w:rsidRPr="00F64773">
              <w:rPr>
                <w:rFonts w:ascii="Arial" w:eastAsia="Times New Roman" w:hAnsi="Arial" w:cs="Arial"/>
                <w:b w:val="0"/>
                <w:sz w:val="16"/>
                <w:szCs w:val="16"/>
              </w:rPr>
              <w:t>Samba Foods Ltd</w:t>
            </w:r>
          </w:p>
        </w:tc>
        <w:tc>
          <w:tcPr>
            <w:tcW w:w="1143" w:type="dxa"/>
            <w:noWrap/>
            <w:vAlign w:val="center"/>
          </w:tcPr>
          <w:p w:rsidR="00405B5E" w:rsidRPr="00F64773" w:rsidRDefault="00405B5E" w:rsidP="00F647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SAMBA</w:t>
            </w:r>
          </w:p>
        </w:tc>
        <w:tc>
          <w:tcPr>
            <w:tcW w:w="1885" w:type="dxa"/>
            <w:noWrap/>
            <w:vAlign w:val="center"/>
          </w:tcPr>
          <w:p w:rsidR="00405B5E" w:rsidRPr="00F64773" w:rsidRDefault="00405B5E" w:rsidP="00F64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0.73</w:t>
            </w:r>
          </w:p>
        </w:tc>
        <w:tc>
          <w:tcPr>
            <w:tcW w:w="2024" w:type="dxa"/>
            <w:noWrap/>
            <w:vAlign w:val="center"/>
          </w:tcPr>
          <w:p w:rsidR="00405B5E" w:rsidRPr="00F64773" w:rsidRDefault="00405B5E" w:rsidP="00F64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0.73</w:t>
            </w:r>
          </w:p>
        </w:tc>
        <w:tc>
          <w:tcPr>
            <w:tcW w:w="1815" w:type="dxa"/>
            <w:noWrap/>
            <w:vAlign w:val="bottom"/>
          </w:tcPr>
          <w:p w:rsid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405B5E" w:rsidRPr="00497D12" w:rsidTr="00012FC0">
        <w:trPr>
          <w:trHeight w:val="314"/>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tcPr>
          <w:p w:rsidR="00405B5E" w:rsidRPr="00F64773" w:rsidRDefault="00405B5E" w:rsidP="00F64773">
            <w:pPr>
              <w:rPr>
                <w:rFonts w:ascii="Arial" w:eastAsia="Times New Roman" w:hAnsi="Arial" w:cs="Arial"/>
                <w:b w:val="0"/>
                <w:sz w:val="16"/>
                <w:szCs w:val="16"/>
              </w:rPr>
            </w:pPr>
            <w:r>
              <w:rPr>
                <w:rFonts w:ascii="Arial" w:eastAsia="Times New Roman" w:hAnsi="Arial" w:cs="Arial"/>
                <w:b w:val="0"/>
                <w:sz w:val="16"/>
                <w:szCs w:val="16"/>
              </w:rPr>
              <w:t>Meridian Marshalls Holding Company</w:t>
            </w:r>
          </w:p>
        </w:tc>
        <w:tc>
          <w:tcPr>
            <w:tcW w:w="1143" w:type="dxa"/>
            <w:noWrap/>
            <w:vAlign w:val="center"/>
          </w:tcPr>
          <w:p w:rsidR="00405B5E" w:rsidRDefault="00405B5E" w:rsidP="00F6477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MMH</w:t>
            </w:r>
          </w:p>
        </w:tc>
        <w:tc>
          <w:tcPr>
            <w:tcW w:w="1885" w:type="dxa"/>
            <w:noWrap/>
            <w:vAlign w:val="center"/>
          </w:tcPr>
          <w:p w:rsidR="00405B5E" w:rsidRDefault="00405B5E" w:rsidP="00F6477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0.11</w:t>
            </w:r>
          </w:p>
        </w:tc>
        <w:tc>
          <w:tcPr>
            <w:tcW w:w="2024" w:type="dxa"/>
            <w:noWrap/>
            <w:vAlign w:val="center"/>
          </w:tcPr>
          <w:p w:rsidR="00405B5E" w:rsidRDefault="00405B5E" w:rsidP="00F6477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0.11</w:t>
            </w:r>
          </w:p>
        </w:tc>
        <w:tc>
          <w:tcPr>
            <w:tcW w:w="1815" w:type="dxa"/>
            <w:noWrap/>
            <w:vAlign w:val="bottom"/>
          </w:tcPr>
          <w:p w:rsidR="00405B5E" w:rsidRDefault="00405B5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405B5E" w:rsidRPr="00497D12" w:rsidTr="00012FC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654" w:type="dxa"/>
            <w:gridSpan w:val="2"/>
            <w:noWrap/>
            <w:vAlign w:val="center"/>
          </w:tcPr>
          <w:p w:rsidR="00405B5E" w:rsidRPr="00785C4D" w:rsidRDefault="00405B5E" w:rsidP="00F64773">
            <w:pPr>
              <w:rPr>
                <w:rFonts w:ascii="Arial" w:eastAsia="Times New Roman" w:hAnsi="Arial" w:cs="Arial"/>
                <w:b w:val="0"/>
                <w:sz w:val="16"/>
                <w:szCs w:val="16"/>
              </w:rPr>
            </w:pPr>
            <w:r w:rsidRPr="00785C4D">
              <w:rPr>
                <w:rFonts w:ascii="Tw Cen MT" w:hAnsi="Tw Cen MT"/>
                <w:noProof/>
              </w:rPr>
              <mc:AlternateContent>
                <mc:Choice Requires="wps">
                  <w:drawing>
                    <wp:anchor distT="0" distB="0" distL="114300" distR="114300" simplePos="0" relativeHeight="251698176" behindDoc="0" locked="0" layoutInCell="1" allowOverlap="1" wp14:anchorId="677B4E7C" wp14:editId="007ECDCE">
                      <wp:simplePos x="0" y="0"/>
                      <wp:positionH relativeFrom="column">
                        <wp:posOffset>1624330</wp:posOffset>
                      </wp:positionH>
                      <wp:positionV relativeFrom="paragraph">
                        <wp:posOffset>422910</wp:posOffset>
                      </wp:positionV>
                      <wp:extent cx="3438525" cy="276225"/>
                      <wp:effectExtent l="0" t="0" r="9525" b="9525"/>
                      <wp:wrapNone/>
                      <wp:docPr id="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5B5E" w:rsidRPr="00157AD8" w:rsidRDefault="00405B5E" w:rsidP="00785C4D">
                                  <w:pPr>
                                    <w:spacing w:after="120"/>
                                    <w:jc w:val="center"/>
                                    <w:rPr>
                                      <w:rFonts w:ascii="Times New Roman" w:hAnsi="Times New Roman" w:cs="Times New Roman"/>
                                      <w:b/>
                                      <w:color w:val="5F497A" w:themeColor="accent4" w:themeShade="BF"/>
                                      <w:sz w:val="14"/>
                                      <w:szCs w:val="16"/>
                                    </w:rPr>
                                  </w:pPr>
                                  <w:r w:rsidRPr="00157AD8">
                                    <w:rPr>
                                      <w:rFonts w:ascii="Times New Roman" w:hAnsi="Times New Roman" w:cs="Times New Roman"/>
                                      <w:b/>
                                      <w:color w:val="5F497A" w:themeColor="accent4" w:themeShade="BF"/>
                                      <w:sz w:val="14"/>
                                      <w:szCs w:val="16"/>
                                    </w:rPr>
                                    <w:t>Table 5: Performance of listed equities from year open</w:t>
                                  </w:r>
                                </w:p>
                                <w:p w:rsidR="00405B5E" w:rsidRPr="00F36E53" w:rsidRDefault="00405B5E" w:rsidP="00785C4D">
                                  <w:pPr>
                                    <w:pStyle w:val="ListParagraph"/>
                                    <w:spacing w:after="60"/>
                                    <w:ind w:left="360"/>
                                    <w:contextualSpacing w:val="0"/>
                                    <w:jc w:val="both"/>
                                    <w:rPr>
                                      <w:rFonts w:ascii="Tw Cen MT" w:hAnsi="Tw Cen MT"/>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127.9pt;margin-top:33.3pt;width:270.7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vchA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" stroked="f">
                      <v:textbox>
                        <w:txbxContent>
                          <w:p w:rsidR="00405B5E" w:rsidRPr="00157AD8" w:rsidRDefault="00405B5E" w:rsidP="00785C4D">
                            <w:pPr>
                              <w:spacing w:after="120"/>
                              <w:jc w:val="center"/>
                              <w:rPr>
                                <w:rFonts w:ascii="Times New Roman" w:hAnsi="Times New Roman" w:cs="Times New Roman"/>
                                <w:b/>
                                <w:color w:val="5F497A" w:themeColor="accent4" w:themeShade="BF"/>
                                <w:sz w:val="14"/>
                                <w:szCs w:val="16"/>
                              </w:rPr>
                            </w:pPr>
                            <w:r w:rsidRPr="00157AD8">
                              <w:rPr>
                                <w:rFonts w:ascii="Times New Roman" w:hAnsi="Times New Roman" w:cs="Times New Roman"/>
                                <w:b/>
                                <w:color w:val="5F497A" w:themeColor="accent4" w:themeShade="BF"/>
                                <w:sz w:val="14"/>
                                <w:szCs w:val="16"/>
                              </w:rPr>
                              <w:t>Table 5: Performance of listed equities from year open</w:t>
                            </w:r>
                          </w:p>
                          <w:p w:rsidR="00405B5E" w:rsidRPr="00F36E53" w:rsidRDefault="00405B5E" w:rsidP="00785C4D">
                            <w:pPr>
                              <w:pStyle w:val="ListParagraph"/>
                              <w:spacing w:after="60"/>
                              <w:ind w:left="360"/>
                              <w:contextualSpacing w:val="0"/>
                              <w:jc w:val="both"/>
                              <w:rPr>
                                <w:rFonts w:ascii="Tw Cen MT" w:hAnsi="Tw Cen MT"/>
                                <w:sz w:val="20"/>
                              </w:rPr>
                            </w:pPr>
                          </w:p>
                        </w:txbxContent>
                      </v:textbox>
                    </v:shape>
                  </w:pict>
                </mc:Fallback>
              </mc:AlternateContent>
            </w:r>
            <w:proofErr w:type="spellStart"/>
            <w:r w:rsidRPr="00785C4D">
              <w:rPr>
                <w:rFonts w:ascii="Arial" w:eastAsia="Times New Roman" w:hAnsi="Arial" w:cs="Arial"/>
                <w:b w:val="0"/>
                <w:sz w:val="16"/>
                <w:szCs w:val="16"/>
              </w:rPr>
              <w:t>Hords</w:t>
            </w:r>
            <w:proofErr w:type="spellEnd"/>
            <w:r w:rsidRPr="00785C4D">
              <w:rPr>
                <w:rFonts w:ascii="Arial" w:eastAsia="Times New Roman" w:hAnsi="Arial" w:cs="Arial"/>
                <w:b w:val="0"/>
                <w:sz w:val="16"/>
                <w:szCs w:val="16"/>
              </w:rPr>
              <w:t xml:space="preserve"> Limited</w:t>
            </w:r>
          </w:p>
        </w:tc>
        <w:tc>
          <w:tcPr>
            <w:tcW w:w="1143" w:type="dxa"/>
            <w:noWrap/>
            <w:vAlign w:val="center"/>
          </w:tcPr>
          <w:p w:rsidR="00405B5E" w:rsidRPr="00785C4D" w:rsidRDefault="00405B5E" w:rsidP="00F6477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HORDS</w:t>
            </w:r>
          </w:p>
        </w:tc>
        <w:tc>
          <w:tcPr>
            <w:tcW w:w="1885" w:type="dxa"/>
            <w:noWrap/>
            <w:vAlign w:val="center"/>
          </w:tcPr>
          <w:p w:rsidR="00405B5E" w:rsidRPr="00785C4D" w:rsidRDefault="00405B5E" w:rsidP="00F64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0.05</w:t>
            </w:r>
          </w:p>
        </w:tc>
        <w:tc>
          <w:tcPr>
            <w:tcW w:w="2024" w:type="dxa"/>
            <w:noWrap/>
            <w:vAlign w:val="center"/>
          </w:tcPr>
          <w:p w:rsidR="00405B5E" w:rsidRPr="00785C4D" w:rsidRDefault="00405B5E" w:rsidP="00F647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0.07</w:t>
            </w:r>
          </w:p>
        </w:tc>
        <w:tc>
          <w:tcPr>
            <w:tcW w:w="1815" w:type="dxa"/>
            <w:noWrap/>
            <w:vAlign w:val="bottom"/>
          </w:tcPr>
          <w:p w:rsidR="00405B5E" w:rsidRDefault="00405B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05B5E">
              <w:rPr>
                <w:rFonts w:ascii="Arial" w:hAnsi="Arial" w:cs="Arial"/>
                <w:color w:val="00B050"/>
                <w:sz w:val="16"/>
                <w:szCs w:val="16"/>
              </w:rPr>
              <w:t>40.00%</w:t>
            </w:r>
          </w:p>
        </w:tc>
      </w:tr>
    </w:tbl>
    <w:p w:rsidR="00092F3A" w:rsidRDefault="008C4692" w:rsidP="00092F3A">
      <w:pPr>
        <w:tabs>
          <w:tab w:val="left" w:pos="6714"/>
        </w:tabs>
        <w:rPr>
          <w:rFonts w:ascii="Tw Cen MT" w:hAnsi="Tw Cen MT"/>
        </w:rPr>
      </w:pPr>
      <w:r>
        <w:rPr>
          <w:rFonts w:ascii="Tw Cen MT" w:hAnsi="Tw Cen MT"/>
          <w:noProof/>
        </w:rPr>
        <w:lastRenderedPageBreak/>
        <mc:AlternateContent>
          <mc:Choice Requires="wps">
            <w:drawing>
              <wp:anchor distT="0" distB="0" distL="114300" distR="114300" simplePos="0" relativeHeight="251662336" behindDoc="0" locked="0" layoutInCell="1" allowOverlap="1" wp14:anchorId="5D11FECF" wp14:editId="1669403D">
                <wp:simplePos x="0" y="0"/>
                <wp:positionH relativeFrom="column">
                  <wp:posOffset>3286125</wp:posOffset>
                </wp:positionH>
                <wp:positionV relativeFrom="paragraph">
                  <wp:posOffset>96520</wp:posOffset>
                </wp:positionV>
                <wp:extent cx="3209925" cy="257175"/>
                <wp:effectExtent l="0" t="0" r="9525" b="9525"/>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55A" w:rsidRPr="00246AD0" w:rsidRDefault="00980ADA" w:rsidP="00960C0F">
                            <w:pPr>
                              <w:jc w:val="center"/>
                              <w:rPr>
                                <w:b/>
                                <w:color w:val="548DD4" w:themeColor="text2" w:themeTint="99"/>
                              </w:rPr>
                            </w:pPr>
                            <w:r w:rsidRPr="00980ADA">
                              <w:rPr>
                                <w:b/>
                                <w:color w:val="548DD4" w:themeColor="text2" w:themeTint="99"/>
                                <w:lang w:val="en-GB"/>
                              </w:rPr>
                              <w:t>CEDI RECOUPS SOME GAINS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7" type="#_x0000_t202" style="position:absolute;margin-left:258.75pt;margin-top:7.6pt;width:252.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" stroked="f">
                <v:textbox>
                  <w:txbxContent>
                    <w:p w:rsidR="009F755A" w:rsidRPr="00246AD0" w:rsidRDefault="00980ADA" w:rsidP="00960C0F">
                      <w:pPr>
                        <w:jc w:val="center"/>
                        <w:rPr>
                          <w:b/>
                          <w:color w:val="548DD4" w:themeColor="text2" w:themeTint="99"/>
                        </w:rPr>
                      </w:pPr>
                      <w:r w:rsidRPr="00980ADA">
                        <w:rPr>
                          <w:b/>
                          <w:color w:val="548DD4" w:themeColor="text2" w:themeTint="99"/>
                          <w:lang w:val="en-GB"/>
                        </w:rPr>
                        <w:t>CEDI RECOUPS SOME GAINS</w:t>
                      </w:r>
                    </w:p>
                  </w:txbxContent>
                </v:textbox>
              </v:shape>
            </w:pict>
          </mc:Fallback>
        </mc:AlternateContent>
      </w:r>
      <w:r>
        <w:rPr>
          <w:rFonts w:ascii="Tw Cen MT" w:hAnsi="Tw Cen MT"/>
          <w:noProof/>
        </w:rPr>
        <mc:AlternateContent>
          <mc:Choice Requires="wps">
            <w:drawing>
              <wp:anchor distT="0" distB="0" distL="114300" distR="114300" simplePos="0" relativeHeight="251657216" behindDoc="0" locked="0" layoutInCell="1" allowOverlap="1" wp14:anchorId="00F19299" wp14:editId="4E91ADE8">
                <wp:simplePos x="0" y="0"/>
                <wp:positionH relativeFrom="column">
                  <wp:posOffset>-790575</wp:posOffset>
                </wp:positionH>
                <wp:positionV relativeFrom="paragraph">
                  <wp:posOffset>93980</wp:posOffset>
                </wp:positionV>
                <wp:extent cx="2576195" cy="361950"/>
                <wp:effectExtent l="0" t="0" r="0"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36195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55A" w:rsidRPr="00EF0404" w:rsidRDefault="009F755A" w:rsidP="008F6DC2">
                            <w:pPr>
                              <w:spacing w:before="40" w:after="40"/>
                              <w:rPr>
                                <w:rFonts w:ascii="Verdana" w:hAnsi="Verdana"/>
                                <w:b/>
                                <w:color w:val="FFFFFF" w:themeColor="background1"/>
                              </w:rPr>
                            </w:pPr>
                            <w:r w:rsidRPr="00EF0404">
                              <w:rPr>
                                <w:rFonts w:ascii="Verdana" w:hAnsi="Verdana"/>
                                <w:b/>
                                <w:color w:val="FFFFFF" w:themeColor="background1"/>
                              </w:rPr>
                              <w:t xml:space="preserve">CURRENCY MARKET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8" type="#_x0000_t202" style="position:absolute;margin-left:-62.25pt;margin-top:7.4pt;width:202.85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" fillcolor="#365f91 [2404]" stroked="f">
                <v:textbox>
                  <w:txbxContent>
                    <w:p w:rsidR="001254A2" w:rsidRPr="00EF0404" w:rsidRDefault="001254A2" w:rsidP="008F6DC2">
                      <w:pPr>
                        <w:spacing w:before="40" w:after="40"/>
                        <w:rPr>
                          <w:rFonts w:ascii="Verdana" w:hAnsi="Verdana"/>
                          <w:b/>
                          <w:color w:val="FFFFFF" w:themeColor="background1"/>
                        </w:rPr>
                      </w:pPr>
                      <w:r w:rsidRPr="00EF0404">
                        <w:rPr>
                          <w:rFonts w:ascii="Verdana" w:hAnsi="Verdana"/>
                          <w:b/>
                          <w:color w:val="FFFFFF" w:themeColor="background1"/>
                        </w:rPr>
                        <w:t xml:space="preserve">CURRENCY MARKET </w:t>
                      </w:r>
                    </w:p>
                  </w:txbxContent>
                </v:textbox>
              </v:shape>
            </w:pict>
          </mc:Fallback>
        </mc:AlternateContent>
      </w:r>
      <w:r w:rsidR="008C5CA3">
        <w:rPr>
          <w:rFonts w:ascii="Tw Cen MT" w:hAnsi="Tw Cen MT"/>
        </w:rPr>
        <w:tab/>
      </w:r>
    </w:p>
    <w:p w:rsidR="00092F3A" w:rsidRDefault="005E2381" w:rsidP="00092F3A">
      <w:pPr>
        <w:tabs>
          <w:tab w:val="left" w:pos="6714"/>
        </w:tabs>
        <w:rPr>
          <w:rFonts w:ascii="Tw Cen MT" w:hAnsi="Tw Cen MT"/>
        </w:rPr>
      </w:pPr>
      <w:r>
        <w:rPr>
          <w:rFonts w:ascii="Tw Cen MT" w:hAnsi="Tw Cen MT"/>
          <w:noProof/>
        </w:rPr>
        <mc:AlternateContent>
          <mc:Choice Requires="wps">
            <w:drawing>
              <wp:anchor distT="0" distB="0" distL="114300" distR="114300" simplePos="0" relativeHeight="251658240" behindDoc="0" locked="0" layoutInCell="1" allowOverlap="1" wp14:anchorId="45C96B35" wp14:editId="5B22B1F6">
                <wp:simplePos x="0" y="0"/>
                <wp:positionH relativeFrom="column">
                  <wp:posOffset>3076575</wp:posOffset>
                </wp:positionH>
                <wp:positionV relativeFrom="paragraph">
                  <wp:posOffset>64770</wp:posOffset>
                </wp:positionV>
                <wp:extent cx="3629025" cy="2000250"/>
                <wp:effectExtent l="0" t="0" r="9525" b="0"/>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00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Barely a week after the oversubscription of the $1.8 billion cocoa syndicated loan, the Cedi began to trim the losses it had suffered against its major trading partners on the inter-bank market.</w:t>
                            </w:r>
                          </w:p>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 xml:space="preserve">The loan which was oversubscribed by 44% is yet to hit the account of the central bank and is expected to further help curtail the fall in value of the Cedi. </w:t>
                            </w:r>
                          </w:p>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This saw the local currency’s holistic year-to-date depreciation slash by 2.3% to 15.55%, amassing to the gains it recorded against the sterling, the greenback and the shared currency.</w:t>
                            </w:r>
                          </w:p>
                          <w:p w:rsidR="009F755A" w:rsidRPr="00CA3C87" w:rsidRDefault="009F755A" w:rsidP="00C5722F">
                            <w:pPr>
                              <w:jc w:val="both"/>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9" type="#_x0000_t202" style="position:absolute;margin-left:242.25pt;margin-top:5.1pt;width:285.7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EUiQIAABo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" stroked="f">
                <v:textbox>
                  <w:txbxContent>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Barely a week after the oversubscription of the $1.8 billion cocoa syndicated loan, the Cedi began to trim the losses it had suffered against its major trading partners on the inter-bank market.</w:t>
                      </w:r>
                    </w:p>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 xml:space="preserve">The loan which was oversubscribed by 44% is yet to hit the account of the central bank and is expected to further help curtail the fall in value of the Cedi. </w:t>
                      </w:r>
                    </w:p>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This saw the local currency’s holistic year-to-date depreciation slash by 2.3% to 15.55%, amassing to the gains it recorded against the sterling, the greenback and the shared currency.</w:t>
                      </w:r>
                    </w:p>
                    <w:p w:rsidR="009F755A" w:rsidRPr="00CA3C87" w:rsidRDefault="009F755A" w:rsidP="00C5722F">
                      <w:pPr>
                        <w:jc w:val="both"/>
                        <w:rPr>
                          <w:rFonts w:ascii="Tw Cen MT" w:hAnsi="Tw Cen MT"/>
                          <w:sz w:val="20"/>
                          <w:szCs w:val="20"/>
                        </w:rPr>
                      </w:pPr>
                    </w:p>
                  </w:txbxContent>
                </v:textbox>
              </v:shape>
            </w:pict>
          </mc:Fallback>
        </mc:AlternateContent>
      </w:r>
    </w:p>
    <w:tbl>
      <w:tblPr>
        <w:tblStyle w:val="LightShading-Accent4"/>
        <w:tblpPr w:leftFromText="180" w:rightFromText="180" w:vertAnchor="text" w:horzAnchor="page" w:tblpX="268" w:tblpY="264"/>
        <w:tblW w:w="4947" w:type="dxa"/>
        <w:tblLook w:val="04A0" w:firstRow="1" w:lastRow="0" w:firstColumn="1" w:lastColumn="0" w:noHBand="0" w:noVBand="1"/>
      </w:tblPr>
      <w:tblGrid>
        <w:gridCol w:w="1963"/>
        <w:gridCol w:w="1155"/>
        <w:gridCol w:w="911"/>
        <w:gridCol w:w="918"/>
      </w:tblGrid>
      <w:tr w:rsidR="00C95284" w:rsidRPr="00E872E5" w:rsidTr="00C95284">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963" w:type="dxa"/>
            <w:noWrap/>
            <w:hideMark/>
          </w:tcPr>
          <w:p w:rsidR="00C95284" w:rsidRPr="005E469F" w:rsidRDefault="00C95284" w:rsidP="00C95284">
            <w:pPr>
              <w:spacing w:before="40" w:after="40"/>
              <w:rPr>
                <w:rFonts w:ascii="Arial" w:eastAsia="Times New Roman" w:hAnsi="Arial" w:cs="Arial"/>
                <w:sz w:val="16"/>
                <w:szCs w:val="16"/>
              </w:rPr>
            </w:pPr>
            <w:r w:rsidRPr="005E469F">
              <w:rPr>
                <w:rFonts w:ascii="Arial" w:eastAsia="Times New Roman" w:hAnsi="Arial" w:cs="Arial"/>
                <w:sz w:val="16"/>
                <w:szCs w:val="16"/>
              </w:rPr>
              <w:t>EXCHANGE RATES</w:t>
            </w:r>
          </w:p>
        </w:tc>
        <w:tc>
          <w:tcPr>
            <w:tcW w:w="1155" w:type="dxa"/>
            <w:noWrap/>
            <w:hideMark/>
          </w:tcPr>
          <w:p w:rsidR="00C95284" w:rsidRPr="005E469F" w:rsidRDefault="00C95284" w:rsidP="00C95284">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5E469F">
              <w:rPr>
                <w:rFonts w:ascii="Arial" w:eastAsia="Times New Roman" w:hAnsi="Arial" w:cs="Arial"/>
                <w:sz w:val="16"/>
                <w:szCs w:val="16"/>
              </w:rPr>
              <w:t>BUYING</w:t>
            </w:r>
          </w:p>
        </w:tc>
        <w:tc>
          <w:tcPr>
            <w:tcW w:w="911" w:type="dxa"/>
            <w:noWrap/>
            <w:hideMark/>
          </w:tcPr>
          <w:p w:rsidR="00C95284" w:rsidRPr="005E469F" w:rsidRDefault="00C95284" w:rsidP="00C95284">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5E469F">
              <w:rPr>
                <w:rFonts w:ascii="Arial" w:eastAsia="Times New Roman" w:hAnsi="Arial" w:cs="Arial"/>
                <w:sz w:val="16"/>
                <w:szCs w:val="16"/>
              </w:rPr>
              <w:t>SELLING</w:t>
            </w:r>
          </w:p>
        </w:tc>
        <w:tc>
          <w:tcPr>
            <w:tcW w:w="918" w:type="dxa"/>
            <w:noWrap/>
            <w:hideMark/>
          </w:tcPr>
          <w:p w:rsidR="00C95284" w:rsidRPr="005E469F" w:rsidRDefault="00C95284" w:rsidP="00C95284">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5E469F">
              <w:rPr>
                <w:rFonts w:ascii="Arial" w:eastAsia="Times New Roman" w:hAnsi="Arial" w:cs="Arial"/>
                <w:sz w:val="16"/>
                <w:szCs w:val="16"/>
              </w:rPr>
              <w:t xml:space="preserve">YTD CHANGE </w:t>
            </w:r>
          </w:p>
        </w:tc>
      </w:tr>
      <w:tr w:rsidR="00C95284" w:rsidRPr="00E872E5" w:rsidTr="00C95284">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963" w:type="dxa"/>
            <w:noWrap/>
            <w:hideMark/>
          </w:tcPr>
          <w:p w:rsidR="00C95284" w:rsidRPr="005E469F" w:rsidRDefault="00C95284" w:rsidP="00C95284">
            <w:pPr>
              <w:spacing w:before="40" w:after="40"/>
              <w:rPr>
                <w:rFonts w:ascii="Arial" w:eastAsia="Times New Roman" w:hAnsi="Arial" w:cs="Arial"/>
                <w:b w:val="0"/>
                <w:sz w:val="16"/>
                <w:szCs w:val="16"/>
              </w:rPr>
            </w:pPr>
            <w:r w:rsidRPr="005E469F">
              <w:rPr>
                <w:rFonts w:ascii="Arial" w:eastAsia="Times New Roman" w:hAnsi="Arial" w:cs="Arial"/>
                <w:b w:val="0"/>
                <w:sz w:val="16"/>
                <w:szCs w:val="16"/>
              </w:rPr>
              <w:t>USDGHS</w:t>
            </w:r>
          </w:p>
        </w:tc>
        <w:tc>
          <w:tcPr>
            <w:tcW w:w="1155" w:type="dxa"/>
            <w:noWrap/>
          </w:tcPr>
          <w:p w:rsidR="00C95284" w:rsidRPr="005E469F" w:rsidRDefault="00AA5327" w:rsidP="00231F25">
            <w:pPr>
              <w:tabs>
                <w:tab w:val="left" w:pos="900"/>
              </w:tabs>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3.8089</w:t>
            </w:r>
          </w:p>
        </w:tc>
        <w:tc>
          <w:tcPr>
            <w:tcW w:w="911" w:type="dxa"/>
            <w:noWrap/>
          </w:tcPr>
          <w:p w:rsidR="00C95284" w:rsidRPr="005E469F" w:rsidRDefault="00AA5327" w:rsidP="00231F2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3.8127</w:t>
            </w:r>
          </w:p>
        </w:tc>
        <w:tc>
          <w:tcPr>
            <w:tcW w:w="918" w:type="dxa"/>
            <w:noWrap/>
            <w:hideMark/>
          </w:tcPr>
          <w:p w:rsidR="00C95284" w:rsidRPr="005E469F" w:rsidRDefault="00AA5327" w:rsidP="00F63828">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19.09</w:t>
            </w:r>
            <w:r w:rsidR="00C95284" w:rsidRPr="005E469F">
              <w:rPr>
                <w:rFonts w:ascii="Arial" w:eastAsia="Times New Roman" w:hAnsi="Arial" w:cs="Arial"/>
                <w:sz w:val="16"/>
                <w:szCs w:val="16"/>
              </w:rPr>
              <w:t>%</w:t>
            </w:r>
            <w:r w:rsidR="00C95284" w:rsidRPr="005E469F">
              <w:rPr>
                <w:rFonts w:ascii="Arial" w:hAnsi="Arial" w:cs="Arial"/>
                <w:i/>
                <w:iCs/>
                <w:color w:val="FF0000"/>
                <w:kern w:val="16"/>
                <w:sz w:val="16"/>
                <w:szCs w:val="13"/>
              </w:rPr>
              <w:t>▼</w:t>
            </w:r>
          </w:p>
        </w:tc>
      </w:tr>
      <w:tr w:rsidR="00C95284" w:rsidRPr="00E872E5" w:rsidTr="00C95284">
        <w:trPr>
          <w:trHeight w:val="483"/>
        </w:trPr>
        <w:tc>
          <w:tcPr>
            <w:cnfStyle w:val="001000000000" w:firstRow="0" w:lastRow="0" w:firstColumn="1" w:lastColumn="0" w:oddVBand="0" w:evenVBand="0" w:oddHBand="0" w:evenHBand="0" w:firstRowFirstColumn="0" w:firstRowLastColumn="0" w:lastRowFirstColumn="0" w:lastRowLastColumn="0"/>
            <w:tcW w:w="1963" w:type="dxa"/>
            <w:noWrap/>
            <w:hideMark/>
          </w:tcPr>
          <w:p w:rsidR="00C95284" w:rsidRPr="005E469F" w:rsidRDefault="00C95284" w:rsidP="00C95284">
            <w:pPr>
              <w:spacing w:before="40" w:after="40"/>
              <w:rPr>
                <w:rFonts w:ascii="Arial" w:eastAsia="Times New Roman" w:hAnsi="Arial" w:cs="Arial"/>
                <w:b w:val="0"/>
                <w:sz w:val="16"/>
                <w:szCs w:val="16"/>
              </w:rPr>
            </w:pPr>
            <w:r w:rsidRPr="005E469F">
              <w:rPr>
                <w:rFonts w:ascii="Arial" w:eastAsia="Times New Roman" w:hAnsi="Arial" w:cs="Arial"/>
                <w:b w:val="0"/>
                <w:sz w:val="16"/>
                <w:szCs w:val="16"/>
              </w:rPr>
              <w:t>GBPGHS</w:t>
            </w:r>
          </w:p>
        </w:tc>
        <w:tc>
          <w:tcPr>
            <w:tcW w:w="1155" w:type="dxa"/>
            <w:noWrap/>
          </w:tcPr>
          <w:p w:rsidR="00C95284" w:rsidRPr="005E469F" w:rsidRDefault="00AA5327" w:rsidP="00231F2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5.8021</w:t>
            </w:r>
          </w:p>
        </w:tc>
        <w:tc>
          <w:tcPr>
            <w:tcW w:w="911" w:type="dxa"/>
            <w:noWrap/>
          </w:tcPr>
          <w:p w:rsidR="00C95284" w:rsidRPr="005E469F" w:rsidRDefault="00AA5327" w:rsidP="00231F25">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58086</w:t>
            </w:r>
          </w:p>
        </w:tc>
        <w:tc>
          <w:tcPr>
            <w:tcW w:w="918" w:type="dxa"/>
            <w:noWrap/>
            <w:hideMark/>
          </w:tcPr>
          <w:p w:rsidR="00C95284" w:rsidRPr="005E469F" w:rsidRDefault="00AA5327" w:rsidP="00F63828">
            <w:pPr>
              <w:spacing w:before="40" w:after="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16.59</w:t>
            </w:r>
            <w:r w:rsidR="00C95284" w:rsidRPr="005E469F">
              <w:rPr>
                <w:rFonts w:ascii="Arial" w:eastAsia="Times New Roman" w:hAnsi="Arial" w:cs="Arial"/>
                <w:sz w:val="16"/>
                <w:szCs w:val="16"/>
              </w:rPr>
              <w:t>%</w:t>
            </w:r>
            <w:r w:rsidR="00C95284" w:rsidRPr="005E469F">
              <w:rPr>
                <w:rFonts w:ascii="Arial" w:hAnsi="Arial" w:cs="Arial"/>
                <w:i/>
                <w:iCs/>
                <w:color w:val="FF0000"/>
                <w:kern w:val="16"/>
                <w:sz w:val="16"/>
                <w:szCs w:val="13"/>
              </w:rPr>
              <w:t>▼</w:t>
            </w:r>
          </w:p>
        </w:tc>
      </w:tr>
      <w:tr w:rsidR="00C95284" w:rsidRPr="00E872E5" w:rsidTr="00C95284">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963" w:type="dxa"/>
            <w:noWrap/>
            <w:hideMark/>
          </w:tcPr>
          <w:p w:rsidR="00C95284" w:rsidRPr="005E469F" w:rsidRDefault="00C95284" w:rsidP="00C95284">
            <w:pPr>
              <w:spacing w:before="40" w:after="40"/>
              <w:rPr>
                <w:rFonts w:ascii="Arial" w:eastAsia="Times New Roman" w:hAnsi="Arial" w:cs="Arial"/>
                <w:b w:val="0"/>
                <w:sz w:val="16"/>
                <w:szCs w:val="16"/>
              </w:rPr>
            </w:pPr>
            <w:r w:rsidRPr="005E469F">
              <w:rPr>
                <w:rFonts w:ascii="Arial" w:eastAsia="Times New Roman" w:hAnsi="Arial" w:cs="Arial"/>
                <w:b w:val="0"/>
                <w:sz w:val="16"/>
                <w:szCs w:val="16"/>
              </w:rPr>
              <w:t>EURGHS</w:t>
            </w:r>
          </w:p>
        </w:tc>
        <w:tc>
          <w:tcPr>
            <w:tcW w:w="1155" w:type="dxa"/>
            <w:noWrap/>
          </w:tcPr>
          <w:p w:rsidR="00C95284" w:rsidRPr="005E469F" w:rsidRDefault="00AA5327" w:rsidP="00231F2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4.2503</w:t>
            </w:r>
          </w:p>
        </w:tc>
        <w:tc>
          <w:tcPr>
            <w:tcW w:w="911" w:type="dxa"/>
            <w:noWrap/>
          </w:tcPr>
          <w:p w:rsidR="00C95284" w:rsidRPr="005E469F" w:rsidRDefault="00AA5327" w:rsidP="00231F25">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4.2520</w:t>
            </w:r>
          </w:p>
        </w:tc>
        <w:tc>
          <w:tcPr>
            <w:tcW w:w="918" w:type="dxa"/>
            <w:noWrap/>
            <w:hideMark/>
          </w:tcPr>
          <w:p w:rsidR="00C95284" w:rsidRPr="005E469F" w:rsidRDefault="00AA5327" w:rsidP="00C5722F">
            <w:pPr>
              <w:spacing w:before="40" w:after="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 xml:space="preserve">  9.12</w:t>
            </w:r>
            <w:r w:rsidR="00C95284" w:rsidRPr="005E469F">
              <w:rPr>
                <w:rFonts w:ascii="Arial" w:eastAsia="Times New Roman" w:hAnsi="Arial" w:cs="Arial"/>
                <w:sz w:val="16"/>
                <w:szCs w:val="16"/>
              </w:rPr>
              <w:t>%</w:t>
            </w:r>
            <w:r w:rsidR="00F63828" w:rsidRPr="005E469F">
              <w:rPr>
                <w:rFonts w:ascii="Arial" w:hAnsi="Arial" w:cs="Arial"/>
                <w:i/>
                <w:iCs/>
                <w:color w:val="FF0000"/>
                <w:kern w:val="16"/>
                <w:sz w:val="16"/>
                <w:szCs w:val="13"/>
              </w:rPr>
              <w:t>▼</w:t>
            </w:r>
          </w:p>
        </w:tc>
      </w:tr>
    </w:tbl>
    <w:p w:rsidR="008B43AA" w:rsidRDefault="008B43AA" w:rsidP="00092F3A">
      <w:pPr>
        <w:tabs>
          <w:tab w:val="left" w:pos="6714"/>
        </w:tabs>
        <w:rPr>
          <w:rFonts w:ascii="Tw Cen MT" w:hAnsi="Tw Cen MT"/>
        </w:rPr>
      </w:pPr>
    </w:p>
    <w:p w:rsidR="00343010" w:rsidRDefault="00343010" w:rsidP="001C3BF5">
      <w:pPr>
        <w:tabs>
          <w:tab w:val="left" w:pos="3198"/>
        </w:tabs>
        <w:rPr>
          <w:rFonts w:ascii="Tw Cen MT" w:hAnsi="Tw Cen MT"/>
        </w:rPr>
      </w:pPr>
    </w:p>
    <w:p w:rsidR="007D2BFF" w:rsidRDefault="007D2BFF" w:rsidP="001C3BF5">
      <w:pPr>
        <w:tabs>
          <w:tab w:val="left" w:pos="3198"/>
        </w:tabs>
        <w:rPr>
          <w:rFonts w:ascii="Tw Cen MT" w:hAnsi="Tw Cen MT"/>
        </w:rPr>
      </w:pPr>
    </w:p>
    <w:p w:rsidR="007D2BFF" w:rsidRDefault="007D2BFF" w:rsidP="001C3BF5">
      <w:pPr>
        <w:tabs>
          <w:tab w:val="left" w:pos="3198"/>
        </w:tabs>
        <w:rPr>
          <w:rFonts w:ascii="Tw Cen MT" w:hAnsi="Tw Cen MT"/>
        </w:rPr>
      </w:pPr>
    </w:p>
    <w:p w:rsidR="007D2BFF" w:rsidRDefault="007D2BFF" w:rsidP="001C3BF5">
      <w:pPr>
        <w:tabs>
          <w:tab w:val="left" w:pos="3198"/>
        </w:tabs>
        <w:rPr>
          <w:rFonts w:ascii="Tw Cen MT" w:hAnsi="Tw Cen MT"/>
        </w:rPr>
      </w:pPr>
    </w:p>
    <w:p w:rsidR="00092F3A" w:rsidRPr="009A7AD1" w:rsidRDefault="00092F3A" w:rsidP="00092F3A">
      <w:pPr>
        <w:rPr>
          <w:rFonts w:ascii="Times New Roman" w:hAnsi="Times New Roman" w:cs="Times New Roman"/>
          <w:b/>
          <w:color w:val="5F497A" w:themeColor="accent4" w:themeShade="BF"/>
          <w:sz w:val="14"/>
          <w:szCs w:val="16"/>
        </w:rPr>
      </w:pPr>
      <w:r>
        <w:rPr>
          <w:rFonts w:ascii="Tw Cen MT" w:hAnsi="Tw Cen MT"/>
          <w:noProof/>
        </w:rPr>
        <mc:AlternateContent>
          <mc:Choice Requires="wps">
            <w:drawing>
              <wp:anchor distT="0" distB="0" distL="114300" distR="114300" simplePos="0" relativeHeight="251676672" behindDoc="0" locked="0" layoutInCell="1" allowOverlap="1" wp14:anchorId="4F4C0C48" wp14:editId="337FFB6D">
                <wp:simplePos x="0" y="0"/>
                <wp:positionH relativeFrom="column">
                  <wp:posOffset>-600075</wp:posOffset>
                </wp:positionH>
                <wp:positionV relativeFrom="paragraph">
                  <wp:posOffset>196215</wp:posOffset>
                </wp:positionV>
                <wp:extent cx="2628900" cy="180975"/>
                <wp:effectExtent l="0" t="0" r="19050" b="28575"/>
                <wp:wrapNone/>
                <wp:docPr id="1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80975"/>
                        </a:xfrm>
                        <a:prstGeom prst="rect">
                          <a:avLst/>
                        </a:prstGeom>
                        <a:solidFill>
                          <a:srgbClr val="FFFFFF"/>
                        </a:solidFill>
                        <a:ln w="9525">
                          <a:solidFill>
                            <a:schemeClr val="bg1">
                              <a:lumMod val="100000"/>
                              <a:lumOff val="0"/>
                            </a:schemeClr>
                          </a:solidFill>
                          <a:miter lim="800000"/>
                          <a:headEnd/>
                          <a:tailEnd/>
                        </a:ln>
                      </wps:spPr>
                      <wps:txbx>
                        <w:txbxContent>
                          <w:p w:rsidR="009F755A" w:rsidRPr="00B5217E" w:rsidRDefault="009F755A" w:rsidP="00092F3A">
                            <w:pPr>
                              <w:widowControl w:val="0"/>
                              <w:spacing w:after="0"/>
                              <w:jc w:val="both"/>
                              <w:rPr>
                                <w:b/>
                                <w:bCs/>
                                <w:i/>
                                <w:iCs/>
                                <w:kern w:val="16"/>
                                <w:sz w:val="13"/>
                                <w:szCs w:val="13"/>
                              </w:rPr>
                            </w:pPr>
                            <w:r w:rsidRPr="00B5217E">
                              <w:rPr>
                                <w:rFonts w:ascii="Arial" w:hAnsi="Arial" w:cs="Arial"/>
                                <w:i/>
                                <w:iCs/>
                                <w:color w:val="00FF00"/>
                                <w:kern w:val="16"/>
                                <w:sz w:val="13"/>
                                <w:szCs w:val="13"/>
                              </w:rPr>
                              <w:t>▲</w:t>
                            </w:r>
                            <w:r w:rsidRPr="00B5217E">
                              <w:rPr>
                                <w:i/>
                                <w:iCs/>
                                <w:color w:val="00FF00"/>
                                <w:kern w:val="16"/>
                                <w:sz w:val="13"/>
                                <w:szCs w:val="13"/>
                              </w:rPr>
                              <w:t xml:space="preserve"> </w:t>
                            </w:r>
                            <w:r w:rsidRPr="00C16D53">
                              <w:rPr>
                                <w:b/>
                                <w:bCs/>
                                <w:i/>
                                <w:iCs/>
                                <w:color w:val="5F497A" w:themeColor="accent4" w:themeShade="BF"/>
                                <w:kern w:val="16"/>
                                <w:sz w:val="13"/>
                                <w:szCs w:val="13"/>
                              </w:rPr>
                              <w:t>year-to-date appreciation</w:t>
                            </w:r>
                            <w:r>
                              <w:rPr>
                                <w:b/>
                                <w:bCs/>
                                <w:i/>
                                <w:iCs/>
                                <w:color w:val="5F497A" w:themeColor="accent4" w:themeShade="BF"/>
                                <w:kern w:val="16"/>
                                <w:sz w:val="13"/>
                                <w:szCs w:val="13"/>
                              </w:rPr>
                              <w:t xml:space="preserve">           </w:t>
                            </w:r>
                            <w:r w:rsidRPr="00B5217E">
                              <w:rPr>
                                <w:rFonts w:ascii="Arial" w:hAnsi="Arial" w:cs="Arial"/>
                                <w:i/>
                                <w:iCs/>
                                <w:color w:val="FF0000"/>
                                <w:kern w:val="16"/>
                                <w:sz w:val="13"/>
                                <w:szCs w:val="13"/>
                              </w:rPr>
                              <w:t>▼</w:t>
                            </w:r>
                            <w:r w:rsidRPr="00B5217E">
                              <w:rPr>
                                <w:i/>
                                <w:iCs/>
                                <w:color w:val="FF0000"/>
                                <w:kern w:val="16"/>
                                <w:sz w:val="13"/>
                                <w:szCs w:val="13"/>
                              </w:rPr>
                              <w:t xml:space="preserve"> </w:t>
                            </w:r>
                            <w:r w:rsidRPr="00C16D53">
                              <w:rPr>
                                <w:b/>
                                <w:bCs/>
                                <w:i/>
                                <w:iCs/>
                                <w:color w:val="5F497A" w:themeColor="accent4" w:themeShade="BF"/>
                                <w:kern w:val="16"/>
                                <w:sz w:val="13"/>
                                <w:szCs w:val="13"/>
                              </w:rPr>
                              <w:t>year-to-date depreciation</w:t>
                            </w:r>
                          </w:p>
                          <w:p w:rsidR="009F755A" w:rsidRPr="00B5217E" w:rsidRDefault="009F755A" w:rsidP="00092F3A">
                            <w:pPr>
                              <w:widowControl w:val="0"/>
                              <w:spacing w:after="0"/>
                              <w:jc w:val="both"/>
                              <w:rPr>
                                <w:i/>
                                <w:iCs/>
                                <w:kern w:val="28"/>
                                <w:sz w:val="13"/>
                                <w:szCs w:val="13"/>
                              </w:rPr>
                            </w:pPr>
                            <w:r w:rsidRPr="00B5217E">
                              <w:rPr>
                                <w:b/>
                                <w:bCs/>
                                <w:i/>
                                <w:iCs/>
                                <w:kern w:val="16"/>
                                <w:sz w:val="13"/>
                                <w:szCs w:val="13"/>
                              </w:rPr>
                              <w:t xml:space="preserve">  </w:t>
                            </w:r>
                          </w:p>
                          <w:p w:rsidR="009F755A" w:rsidRDefault="009F755A" w:rsidP="00092F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0" type="#_x0000_t202" style="position:absolute;margin-left:-47.25pt;margin-top:15.45pt;width:207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" strokecolor="white [3212]">
                <v:textbox>
                  <w:txbxContent>
                    <w:p w:rsidR="00C5722F" w:rsidRPr="00B5217E" w:rsidRDefault="00C5722F" w:rsidP="00092F3A">
                      <w:pPr>
                        <w:widowControl w:val="0"/>
                        <w:spacing w:after="0"/>
                        <w:jc w:val="both"/>
                        <w:rPr>
                          <w:b/>
                          <w:bCs/>
                          <w:i/>
                          <w:iCs/>
                          <w:kern w:val="16"/>
                          <w:sz w:val="13"/>
                          <w:szCs w:val="13"/>
                        </w:rPr>
                      </w:pPr>
                      <w:r w:rsidRPr="00B5217E">
                        <w:rPr>
                          <w:rFonts w:ascii="Arial" w:hAnsi="Arial" w:cs="Arial"/>
                          <w:i/>
                          <w:iCs/>
                          <w:color w:val="00FF00"/>
                          <w:kern w:val="16"/>
                          <w:sz w:val="13"/>
                          <w:szCs w:val="13"/>
                        </w:rPr>
                        <w:t>▲</w:t>
                      </w:r>
                      <w:r w:rsidRPr="00B5217E">
                        <w:rPr>
                          <w:i/>
                          <w:iCs/>
                          <w:color w:val="00FF00"/>
                          <w:kern w:val="16"/>
                          <w:sz w:val="13"/>
                          <w:szCs w:val="13"/>
                        </w:rPr>
                        <w:t xml:space="preserve"> </w:t>
                      </w:r>
                      <w:r w:rsidRPr="00C16D53">
                        <w:rPr>
                          <w:b/>
                          <w:bCs/>
                          <w:i/>
                          <w:iCs/>
                          <w:color w:val="5F497A" w:themeColor="accent4" w:themeShade="BF"/>
                          <w:kern w:val="16"/>
                          <w:sz w:val="13"/>
                          <w:szCs w:val="13"/>
                        </w:rPr>
                        <w:t>year-to-date appreciation</w:t>
                      </w:r>
                      <w:r>
                        <w:rPr>
                          <w:b/>
                          <w:bCs/>
                          <w:i/>
                          <w:iCs/>
                          <w:color w:val="5F497A" w:themeColor="accent4" w:themeShade="BF"/>
                          <w:kern w:val="16"/>
                          <w:sz w:val="13"/>
                          <w:szCs w:val="13"/>
                        </w:rPr>
                        <w:t xml:space="preserve">           </w:t>
                      </w:r>
                      <w:r w:rsidRPr="00B5217E">
                        <w:rPr>
                          <w:rFonts w:ascii="Arial" w:hAnsi="Arial" w:cs="Arial"/>
                          <w:i/>
                          <w:iCs/>
                          <w:color w:val="FF0000"/>
                          <w:kern w:val="16"/>
                          <w:sz w:val="13"/>
                          <w:szCs w:val="13"/>
                        </w:rPr>
                        <w:t>▼</w:t>
                      </w:r>
                      <w:r w:rsidRPr="00B5217E">
                        <w:rPr>
                          <w:i/>
                          <w:iCs/>
                          <w:color w:val="FF0000"/>
                          <w:kern w:val="16"/>
                          <w:sz w:val="13"/>
                          <w:szCs w:val="13"/>
                        </w:rPr>
                        <w:t xml:space="preserve"> </w:t>
                      </w:r>
                      <w:r w:rsidRPr="00C16D53">
                        <w:rPr>
                          <w:b/>
                          <w:bCs/>
                          <w:i/>
                          <w:iCs/>
                          <w:color w:val="5F497A" w:themeColor="accent4" w:themeShade="BF"/>
                          <w:kern w:val="16"/>
                          <w:sz w:val="13"/>
                          <w:szCs w:val="13"/>
                        </w:rPr>
                        <w:t>year-to-date depreciation</w:t>
                      </w:r>
                    </w:p>
                    <w:p w:rsidR="00C5722F" w:rsidRPr="00B5217E" w:rsidRDefault="00C5722F" w:rsidP="00092F3A">
                      <w:pPr>
                        <w:widowControl w:val="0"/>
                        <w:spacing w:after="0"/>
                        <w:jc w:val="both"/>
                        <w:rPr>
                          <w:i/>
                          <w:iCs/>
                          <w:kern w:val="28"/>
                          <w:sz w:val="13"/>
                          <w:szCs w:val="13"/>
                        </w:rPr>
                      </w:pPr>
                      <w:r w:rsidRPr="00B5217E">
                        <w:rPr>
                          <w:b/>
                          <w:bCs/>
                          <w:i/>
                          <w:iCs/>
                          <w:kern w:val="16"/>
                          <w:sz w:val="13"/>
                          <w:szCs w:val="13"/>
                        </w:rPr>
                        <w:t xml:space="preserve">  </w:t>
                      </w:r>
                    </w:p>
                    <w:p w:rsidR="00C5722F" w:rsidRDefault="00C5722F" w:rsidP="00092F3A"/>
                  </w:txbxContent>
                </v:textbox>
              </v:shape>
            </w:pict>
          </mc:Fallback>
        </mc:AlternateContent>
      </w:r>
      <w:r w:rsidRPr="009A7AD1">
        <w:rPr>
          <w:rFonts w:ascii="Times New Roman" w:hAnsi="Times New Roman" w:cs="Times New Roman"/>
          <w:b/>
          <w:color w:val="5F497A" w:themeColor="accent4" w:themeShade="BF"/>
          <w:sz w:val="14"/>
          <w:szCs w:val="16"/>
        </w:rPr>
        <w:t xml:space="preserve">Table 6: Inter-bank indicative rates </w:t>
      </w:r>
    </w:p>
    <w:p w:rsidR="007D2BFF" w:rsidRPr="00F77376" w:rsidRDefault="00980ADA" w:rsidP="001C3BF5">
      <w:pPr>
        <w:tabs>
          <w:tab w:val="left" w:pos="3198"/>
        </w:tabs>
        <w:rPr>
          <w:rFonts w:ascii="Tw Cen MT" w:hAnsi="Tw Cen MT"/>
          <w:i/>
        </w:rPr>
      </w:pPr>
      <w:r>
        <w:rPr>
          <w:rFonts w:ascii="Tw Cen MT" w:hAnsi="Tw Cen MT"/>
          <w:noProof/>
        </w:rPr>
        <mc:AlternateContent>
          <mc:Choice Requires="wps">
            <w:drawing>
              <wp:anchor distT="0" distB="0" distL="114300" distR="114300" simplePos="0" relativeHeight="251659264" behindDoc="0" locked="0" layoutInCell="1" allowOverlap="1" wp14:anchorId="022431A5" wp14:editId="41913EC3">
                <wp:simplePos x="0" y="0"/>
                <wp:positionH relativeFrom="column">
                  <wp:posOffset>3086100</wp:posOffset>
                </wp:positionH>
                <wp:positionV relativeFrom="paragraph">
                  <wp:posOffset>8890</wp:posOffset>
                </wp:positionV>
                <wp:extent cx="3667125" cy="2714625"/>
                <wp:effectExtent l="0" t="0" r="9525" b="9525"/>
                <wp:wrapNone/>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71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55A" w:rsidRPr="00DD0F9D" w:rsidRDefault="009F755A" w:rsidP="00334CA6">
                            <w:pPr>
                              <w:jc w:val="center"/>
                              <w:rPr>
                                <w:rFonts w:ascii="Times New Roman" w:hAnsi="Times New Roman" w:cs="Times New Roman"/>
                                <w:b/>
                                <w:sz w:val="14"/>
                                <w:szCs w:val="16"/>
                              </w:rPr>
                            </w:pPr>
                            <w:r>
                              <w:rPr>
                                <w:noProof/>
                              </w:rPr>
                              <w:drawing>
                                <wp:inline distT="0" distB="0" distL="0" distR="0" wp14:anchorId="1766C42A" wp14:editId="5C804790">
                                  <wp:extent cx="3486150" cy="22193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020752">
                              <w:rPr>
                                <w:rFonts w:ascii="Times New Roman" w:hAnsi="Times New Roman" w:cs="Times New Roman"/>
                                <w:b/>
                                <w:color w:val="5F497A" w:themeColor="accent4" w:themeShade="BF"/>
                                <w:sz w:val="14"/>
                                <w:szCs w:val="16"/>
                              </w:rPr>
                              <w:t xml:space="preserve">Fig 3: </w:t>
                            </w:r>
                            <w:r w:rsidRPr="00020752">
                              <w:rPr>
                                <w:rFonts w:ascii="Times New Roman" w:hAnsi="Times New Roman" w:cs="Times New Roman"/>
                                <w:b/>
                                <w:bCs/>
                                <w:color w:val="5F497A" w:themeColor="accent4" w:themeShade="BF"/>
                                <w:sz w:val="14"/>
                                <w:szCs w:val="16"/>
                              </w:rPr>
                              <w:t>YTD performance of Pound, Dollar &amp; Euro versus the Cedi</w:t>
                            </w:r>
                          </w:p>
                          <w:p w:rsidR="009F755A" w:rsidRPr="00715978" w:rsidRDefault="009F755A" w:rsidP="00715978">
                            <w:pPr>
                              <w:widowControl w:val="0"/>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1" type="#_x0000_t202" style="position:absolute;margin-left:243pt;margin-top:.7pt;width:288.75pt;height:2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" stroked="f">
                <v:textbox>
                  <w:txbxContent>
                    <w:p w:rsidR="009F755A" w:rsidRPr="00DD0F9D" w:rsidRDefault="009F755A" w:rsidP="00334CA6">
                      <w:pPr>
                        <w:jc w:val="center"/>
                        <w:rPr>
                          <w:rFonts w:ascii="Times New Roman" w:hAnsi="Times New Roman" w:cs="Times New Roman"/>
                          <w:b/>
                          <w:sz w:val="14"/>
                          <w:szCs w:val="16"/>
                        </w:rPr>
                      </w:pPr>
                      <w:r>
                        <w:rPr>
                          <w:noProof/>
                        </w:rPr>
                        <w:drawing>
                          <wp:inline distT="0" distB="0" distL="0" distR="0" wp14:anchorId="1766C42A" wp14:editId="5C804790">
                            <wp:extent cx="3486150" cy="22193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020752">
                        <w:rPr>
                          <w:rFonts w:ascii="Times New Roman" w:hAnsi="Times New Roman" w:cs="Times New Roman"/>
                          <w:b/>
                          <w:color w:val="5F497A" w:themeColor="accent4" w:themeShade="BF"/>
                          <w:sz w:val="14"/>
                          <w:szCs w:val="16"/>
                        </w:rPr>
                        <w:t xml:space="preserve">Fig 3: </w:t>
                      </w:r>
                      <w:r w:rsidRPr="00020752">
                        <w:rPr>
                          <w:rFonts w:ascii="Times New Roman" w:hAnsi="Times New Roman" w:cs="Times New Roman"/>
                          <w:b/>
                          <w:bCs/>
                          <w:color w:val="5F497A" w:themeColor="accent4" w:themeShade="BF"/>
                          <w:sz w:val="14"/>
                          <w:szCs w:val="16"/>
                        </w:rPr>
                        <w:t>YTD performance of Pound, Dollar &amp; Euro versus the Cedi</w:t>
                      </w:r>
                    </w:p>
                    <w:p w:rsidR="009F755A" w:rsidRPr="00715978" w:rsidRDefault="009F755A" w:rsidP="00715978">
                      <w:pPr>
                        <w:widowControl w:val="0"/>
                        <w:spacing w:after="0"/>
                      </w:pPr>
                    </w:p>
                  </w:txbxContent>
                </v:textbox>
              </v:shape>
            </w:pict>
          </mc:Fallback>
        </mc:AlternateContent>
      </w:r>
    </w:p>
    <w:p w:rsidR="007D2BFF" w:rsidRDefault="00C5722F" w:rsidP="00F77376">
      <w:pPr>
        <w:tabs>
          <w:tab w:val="left" w:pos="3198"/>
        </w:tabs>
        <w:rPr>
          <w:rFonts w:ascii="Tw Cen MT" w:hAnsi="Tw Cen MT"/>
        </w:rPr>
      </w:pPr>
      <w:r>
        <w:rPr>
          <w:rFonts w:ascii="Tw Cen MT" w:hAnsi="Tw Cen MT"/>
          <w:noProof/>
        </w:rPr>
        <mc:AlternateContent>
          <mc:Choice Requires="wps">
            <w:drawing>
              <wp:anchor distT="0" distB="0" distL="114300" distR="114300" simplePos="0" relativeHeight="251661312" behindDoc="0" locked="0" layoutInCell="1" allowOverlap="1" wp14:anchorId="580B72DA" wp14:editId="4A41EC09">
                <wp:simplePos x="0" y="0"/>
                <wp:positionH relativeFrom="column">
                  <wp:posOffset>-790575</wp:posOffset>
                </wp:positionH>
                <wp:positionV relativeFrom="paragraph">
                  <wp:posOffset>1906</wp:posOffset>
                </wp:positionV>
                <wp:extent cx="3572510" cy="2838450"/>
                <wp:effectExtent l="0" t="0" r="8890" b="0"/>
                <wp:wrapNone/>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283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0ADA" w:rsidRPr="00980ADA" w:rsidRDefault="00980ADA" w:rsidP="00980ADA">
                            <w:pPr>
                              <w:jc w:val="both"/>
                              <w:rPr>
                                <w:rFonts w:ascii="Tw Cen MT" w:eastAsia="Calibri" w:hAnsi="Tw Cen MT" w:cs="Times New Roman"/>
                                <w:b/>
                                <w:i/>
                                <w:color w:val="5F497A" w:themeColor="accent4" w:themeShade="BF"/>
                                <w:sz w:val="20"/>
                                <w:szCs w:val="20"/>
                                <w:lang w:val="en-GB"/>
                              </w:rPr>
                            </w:pPr>
                            <w:r w:rsidRPr="00980ADA">
                              <w:rPr>
                                <w:rFonts w:ascii="Tw Cen MT" w:eastAsia="Calibri" w:hAnsi="Tw Cen MT" w:cs="Times New Roman"/>
                                <w:b/>
                                <w:i/>
                                <w:color w:val="5F497A" w:themeColor="accent4" w:themeShade="BF"/>
                                <w:sz w:val="20"/>
                                <w:szCs w:val="20"/>
                                <w:lang w:val="en-GB"/>
                              </w:rPr>
                              <w:t>Dollar takes a breather</w:t>
                            </w:r>
                          </w:p>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The Dollar paused for a breather last week after surrendering 1.24% of its strength to the Cedi on the inter-bank market.</w:t>
                            </w:r>
                          </w:p>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 xml:space="preserve">This came in after Fitch Ratings kept Ghana's credit ratings at ‘B’ but with a negative outlook. The rate was unchanged because some progress was made by the Government in its fiscal consolidation program. Fitch is however concerned about Ghana’s external debt position which is vulnerable because of the current account position of the country.  </w:t>
                            </w:r>
                          </w:p>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 xml:space="preserve">That notwithstanding, Fitch maintained that it might revise Ghana’s outlook to stable if there is some improvement in the country’s debts position.  </w:t>
                            </w:r>
                          </w:p>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Consequently, the Dollar’s annual yield against the Cedi trimmed to 19.09% after trading at a midrate of GH¢3.8586.</w:t>
                            </w:r>
                          </w:p>
                          <w:p w:rsidR="009F755A" w:rsidRPr="0086423B" w:rsidRDefault="009F755A" w:rsidP="00745343">
                            <w:pPr>
                              <w:jc w:val="both"/>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2" type="#_x0000_t202" style="position:absolute;margin-left:-62.25pt;margin-top:.15pt;width:281.3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DjhwIAABk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" stroked="f">
                <v:textbox>
                  <w:txbxContent>
                    <w:p w:rsidR="00980ADA" w:rsidRPr="00980ADA" w:rsidRDefault="00980ADA" w:rsidP="00980ADA">
                      <w:pPr>
                        <w:jc w:val="both"/>
                        <w:rPr>
                          <w:rFonts w:ascii="Tw Cen MT" w:eastAsia="Calibri" w:hAnsi="Tw Cen MT" w:cs="Times New Roman"/>
                          <w:b/>
                          <w:i/>
                          <w:color w:val="5F497A" w:themeColor="accent4" w:themeShade="BF"/>
                          <w:sz w:val="20"/>
                          <w:szCs w:val="20"/>
                          <w:lang w:val="en-GB"/>
                        </w:rPr>
                      </w:pPr>
                      <w:r w:rsidRPr="00980ADA">
                        <w:rPr>
                          <w:rFonts w:ascii="Tw Cen MT" w:eastAsia="Calibri" w:hAnsi="Tw Cen MT" w:cs="Times New Roman"/>
                          <w:b/>
                          <w:i/>
                          <w:color w:val="5F497A" w:themeColor="accent4" w:themeShade="BF"/>
                          <w:sz w:val="20"/>
                          <w:szCs w:val="20"/>
                          <w:lang w:val="en-GB"/>
                        </w:rPr>
                        <w:t>Dollar takes a breather</w:t>
                      </w:r>
                    </w:p>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The Dollar paused for a breather last week after surrendering 1.24% of its strength to the Cedi on the inter-bank market.</w:t>
                      </w:r>
                    </w:p>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 xml:space="preserve">This came in after Fitch Ratings kept Ghana's credit ratings at ‘B’ but with a negative outlook. The rate was unchanged because some progress was made by the Government in its fiscal consolidation program. Fitch is however concerned about Ghana’s external debt position which is vulnerable because of the current account position of the country.  </w:t>
                      </w:r>
                    </w:p>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 xml:space="preserve">That notwithstanding, Fitch maintained that it might revise Ghana’s outlook to stable if there is some improvement in the country’s debts position.  </w:t>
                      </w:r>
                    </w:p>
                    <w:p w:rsidR="00980ADA" w:rsidRPr="00980ADA" w:rsidRDefault="00980ADA" w:rsidP="00980ADA">
                      <w:pPr>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Consequently, the Dollar’s annual yield against the Cedi trimmed to 19.09% after trading at a midrate of GH¢3.8586.</w:t>
                      </w:r>
                    </w:p>
                    <w:p w:rsidR="009F755A" w:rsidRPr="0086423B" w:rsidRDefault="009F755A" w:rsidP="00745343">
                      <w:pPr>
                        <w:jc w:val="both"/>
                        <w:rPr>
                          <w:rFonts w:ascii="Tw Cen MT" w:hAnsi="Tw Cen MT"/>
                        </w:rPr>
                      </w:pPr>
                    </w:p>
                  </w:txbxContent>
                </v:textbox>
              </v:shape>
            </w:pict>
          </mc:Fallback>
        </mc:AlternateContent>
      </w:r>
    </w:p>
    <w:p w:rsidR="00583534" w:rsidRPr="004E1528" w:rsidRDefault="00583534" w:rsidP="00583534">
      <w:pPr>
        <w:jc w:val="both"/>
        <w:rPr>
          <w:rFonts w:ascii="Times New Roman" w:hAnsi="Times New Roman" w:cs="Times New Roman"/>
          <w:b/>
          <w:sz w:val="14"/>
          <w:szCs w:val="16"/>
        </w:rPr>
      </w:pPr>
    </w:p>
    <w:p w:rsidR="007D2BFF" w:rsidRDefault="007D2BFF" w:rsidP="001C3BF5">
      <w:pPr>
        <w:tabs>
          <w:tab w:val="left" w:pos="3198"/>
        </w:tabs>
        <w:rPr>
          <w:rFonts w:ascii="Tw Cen MT" w:hAnsi="Tw Cen MT"/>
        </w:rPr>
      </w:pPr>
    </w:p>
    <w:p w:rsidR="007D2BFF" w:rsidRDefault="007D2BFF" w:rsidP="001C3BF5">
      <w:pPr>
        <w:tabs>
          <w:tab w:val="left" w:pos="3198"/>
        </w:tabs>
        <w:rPr>
          <w:rFonts w:ascii="Tw Cen MT" w:hAnsi="Tw Cen MT"/>
        </w:rPr>
      </w:pPr>
    </w:p>
    <w:p w:rsidR="007D2BFF" w:rsidRDefault="007D2BFF" w:rsidP="001C3BF5">
      <w:pPr>
        <w:tabs>
          <w:tab w:val="left" w:pos="3198"/>
        </w:tabs>
        <w:rPr>
          <w:rFonts w:ascii="Tw Cen MT" w:hAnsi="Tw Cen MT"/>
        </w:rPr>
      </w:pPr>
    </w:p>
    <w:p w:rsidR="007D2BFF" w:rsidRDefault="007D2BFF" w:rsidP="001C3BF5">
      <w:pPr>
        <w:tabs>
          <w:tab w:val="left" w:pos="3198"/>
        </w:tabs>
        <w:rPr>
          <w:rFonts w:ascii="Tw Cen MT" w:hAnsi="Tw Cen MT"/>
        </w:rPr>
      </w:pPr>
    </w:p>
    <w:p w:rsidR="007D2BFF" w:rsidRDefault="007D2BFF" w:rsidP="001C3BF5">
      <w:pPr>
        <w:tabs>
          <w:tab w:val="left" w:pos="3198"/>
        </w:tabs>
        <w:rPr>
          <w:rFonts w:ascii="Tw Cen MT" w:hAnsi="Tw Cen MT"/>
        </w:rPr>
      </w:pPr>
    </w:p>
    <w:p w:rsidR="007D2BFF" w:rsidRDefault="007D2BFF" w:rsidP="001C3BF5">
      <w:pPr>
        <w:tabs>
          <w:tab w:val="left" w:pos="3198"/>
        </w:tabs>
        <w:rPr>
          <w:rFonts w:ascii="Tw Cen MT" w:hAnsi="Tw Cen MT"/>
        </w:rPr>
      </w:pPr>
    </w:p>
    <w:p w:rsidR="007D2BFF" w:rsidRDefault="00C5722F" w:rsidP="001C3BF5">
      <w:pPr>
        <w:tabs>
          <w:tab w:val="left" w:pos="3198"/>
        </w:tabs>
        <w:rPr>
          <w:rFonts w:ascii="Tw Cen MT" w:hAnsi="Tw Cen MT"/>
        </w:rPr>
      </w:pPr>
      <w:r>
        <w:rPr>
          <w:rFonts w:ascii="Tw Cen MT" w:hAnsi="Tw Cen MT"/>
          <w:noProof/>
        </w:rPr>
        <mc:AlternateContent>
          <mc:Choice Requires="wps">
            <w:drawing>
              <wp:anchor distT="0" distB="0" distL="114300" distR="114300" simplePos="0" relativeHeight="251663360" behindDoc="0" locked="0" layoutInCell="1" allowOverlap="1" wp14:anchorId="0C01F4B0" wp14:editId="4214CBDE">
                <wp:simplePos x="0" y="0"/>
                <wp:positionH relativeFrom="column">
                  <wp:posOffset>3190875</wp:posOffset>
                </wp:positionH>
                <wp:positionV relativeFrom="paragraph">
                  <wp:posOffset>111125</wp:posOffset>
                </wp:positionV>
                <wp:extent cx="3562350" cy="2352675"/>
                <wp:effectExtent l="0" t="0" r="0" b="9525"/>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35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0ADA" w:rsidRPr="00980ADA" w:rsidRDefault="00980ADA" w:rsidP="00980ADA">
                            <w:pPr>
                              <w:spacing w:line="240" w:lineRule="auto"/>
                              <w:jc w:val="both"/>
                              <w:rPr>
                                <w:rFonts w:ascii="Tw Cen MT" w:eastAsia="Calibri" w:hAnsi="Tw Cen MT" w:cs="Times New Roman"/>
                                <w:b/>
                                <w:i/>
                                <w:color w:val="5F497A" w:themeColor="accent4" w:themeShade="BF"/>
                                <w:sz w:val="20"/>
                                <w:szCs w:val="20"/>
                                <w:lang w:val="en-GB"/>
                              </w:rPr>
                            </w:pPr>
                            <w:r w:rsidRPr="00980ADA">
                              <w:rPr>
                                <w:rFonts w:ascii="Tw Cen MT" w:eastAsia="Calibri" w:hAnsi="Tw Cen MT" w:cs="Times New Roman"/>
                                <w:b/>
                                <w:i/>
                                <w:color w:val="5F497A" w:themeColor="accent4" w:themeShade="BF"/>
                                <w:sz w:val="20"/>
                                <w:szCs w:val="20"/>
                                <w:lang w:val="en-GB"/>
                              </w:rPr>
                              <w:t xml:space="preserve">Consumer confidence data weighs on Euro </w:t>
                            </w:r>
                          </w:p>
                          <w:p w:rsidR="00980ADA" w:rsidRPr="00980ADA" w:rsidRDefault="00980ADA" w:rsidP="00980ADA">
                            <w:pPr>
                              <w:spacing w:line="240" w:lineRule="auto"/>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The Euro, like the other major currencies lost footing on the global front, after the Euro-zone’s consumer confidence index weakened further in September.</w:t>
                            </w:r>
                          </w:p>
                          <w:p w:rsidR="00980ADA" w:rsidRPr="00980ADA" w:rsidRDefault="00980ADA" w:rsidP="00980ADA">
                            <w:pPr>
                              <w:spacing w:line="240" w:lineRule="auto"/>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Data showed that the Eurozone consumer confidence indicator dropped to -7.1 points in September, after witnessing a decline of -6.9 in the previous month, while market participants had expected the index to decline to -7.0.</w:t>
                            </w:r>
                          </w:p>
                          <w:p w:rsidR="00980ADA" w:rsidRPr="00980ADA" w:rsidRDefault="00980ADA" w:rsidP="00980ADA">
                            <w:pPr>
                              <w:spacing w:line="240" w:lineRule="auto"/>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The state of the shared currency on Ghana’s inter-bank market was no different from that of the international market. €1 was bought at GH¢4.2503 and sold for GH¢4.2520, representing a fall in the Euro’s annual yield to 9.12% from 12.01%, a fortnight ago.</w:t>
                            </w:r>
                          </w:p>
                          <w:p w:rsidR="009F755A" w:rsidRPr="006A5672" w:rsidRDefault="009F755A" w:rsidP="006A567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3" type="#_x0000_t202" style="position:absolute;margin-left:251.25pt;margin-top:8.75pt;width:280.5pt;height:1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" stroked="f">
                <v:textbox>
                  <w:txbxContent>
                    <w:p w:rsidR="00980ADA" w:rsidRPr="00980ADA" w:rsidRDefault="00980ADA" w:rsidP="00980ADA">
                      <w:pPr>
                        <w:spacing w:line="240" w:lineRule="auto"/>
                        <w:jc w:val="both"/>
                        <w:rPr>
                          <w:rFonts w:ascii="Tw Cen MT" w:eastAsia="Calibri" w:hAnsi="Tw Cen MT" w:cs="Times New Roman"/>
                          <w:b/>
                          <w:i/>
                          <w:color w:val="5F497A" w:themeColor="accent4" w:themeShade="BF"/>
                          <w:sz w:val="20"/>
                          <w:szCs w:val="20"/>
                          <w:lang w:val="en-GB"/>
                        </w:rPr>
                      </w:pPr>
                      <w:r w:rsidRPr="00980ADA">
                        <w:rPr>
                          <w:rFonts w:ascii="Tw Cen MT" w:eastAsia="Calibri" w:hAnsi="Tw Cen MT" w:cs="Times New Roman"/>
                          <w:b/>
                          <w:i/>
                          <w:color w:val="5F497A" w:themeColor="accent4" w:themeShade="BF"/>
                          <w:sz w:val="20"/>
                          <w:szCs w:val="20"/>
                          <w:lang w:val="en-GB"/>
                        </w:rPr>
                        <w:t xml:space="preserve">Consumer confidence data weighs on Euro </w:t>
                      </w:r>
                    </w:p>
                    <w:p w:rsidR="00980ADA" w:rsidRPr="00980ADA" w:rsidRDefault="00980ADA" w:rsidP="00980ADA">
                      <w:pPr>
                        <w:spacing w:line="240" w:lineRule="auto"/>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The Euro, like the other major currencies lost footing on the global front, after the Euro-zone’s consumer confidence index weakened further in September.</w:t>
                      </w:r>
                    </w:p>
                    <w:p w:rsidR="00980ADA" w:rsidRPr="00980ADA" w:rsidRDefault="00980ADA" w:rsidP="00980ADA">
                      <w:pPr>
                        <w:spacing w:line="240" w:lineRule="auto"/>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Data showed that the Eurozone consumer confidence indicator dropped to -7.1 points in September, after witnessing a decline of -6.9 in the previou</w:t>
                      </w:r>
                      <w:bookmarkStart w:id="1" w:name="_GoBack"/>
                      <w:bookmarkEnd w:id="1"/>
                      <w:r w:rsidRPr="00980ADA">
                        <w:rPr>
                          <w:rFonts w:ascii="Tw Cen MT" w:eastAsia="Calibri" w:hAnsi="Tw Cen MT" w:cs="Times New Roman"/>
                          <w:sz w:val="20"/>
                          <w:szCs w:val="20"/>
                          <w:lang w:val="en-GB"/>
                        </w:rPr>
                        <w:t>s month, while market participants had expected the index to decline to -7.0.</w:t>
                      </w:r>
                    </w:p>
                    <w:p w:rsidR="00980ADA" w:rsidRPr="00980ADA" w:rsidRDefault="00980ADA" w:rsidP="00980ADA">
                      <w:pPr>
                        <w:spacing w:line="240" w:lineRule="auto"/>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The state of the shared currency on Ghana’s inter-bank market was no different from that of the international market. €1 was bought at GH¢4.2503 and sold for GH¢4.2520, representing a fall in the Euro’s annual yield to 9.12% from 12.01%, a fortnight ago.</w:t>
                      </w:r>
                    </w:p>
                    <w:p w:rsidR="009F755A" w:rsidRPr="006A5672" w:rsidRDefault="009F755A" w:rsidP="006A5672">
                      <w:pPr>
                        <w:rPr>
                          <w:szCs w:val="20"/>
                        </w:rPr>
                      </w:pPr>
                    </w:p>
                  </w:txbxContent>
                </v:textbox>
              </v:shape>
            </w:pict>
          </mc:Fallback>
        </mc:AlternateContent>
      </w:r>
    </w:p>
    <w:p w:rsidR="00351D25" w:rsidRDefault="00351D25" w:rsidP="001C3BF5">
      <w:pPr>
        <w:tabs>
          <w:tab w:val="left" w:pos="3198"/>
        </w:tabs>
        <w:rPr>
          <w:rFonts w:ascii="Tw Cen MT" w:hAnsi="Tw Cen MT"/>
        </w:rPr>
      </w:pPr>
    </w:p>
    <w:p w:rsidR="007D2BFF" w:rsidRDefault="00980ADA" w:rsidP="001C3BF5">
      <w:pPr>
        <w:tabs>
          <w:tab w:val="left" w:pos="3198"/>
        </w:tabs>
        <w:rPr>
          <w:rFonts w:ascii="Tw Cen MT" w:hAnsi="Tw Cen MT"/>
        </w:rPr>
      </w:pPr>
      <w:r>
        <w:rPr>
          <w:rFonts w:ascii="Tw Cen MT" w:hAnsi="Tw Cen MT"/>
          <w:noProof/>
        </w:rPr>
        <mc:AlternateContent>
          <mc:Choice Requires="wps">
            <w:drawing>
              <wp:anchor distT="0" distB="0" distL="114300" distR="114300" simplePos="0" relativeHeight="251660288" behindDoc="0" locked="0" layoutInCell="1" allowOverlap="1" wp14:anchorId="7279D7A2" wp14:editId="4752474E">
                <wp:simplePos x="0" y="0"/>
                <wp:positionH relativeFrom="column">
                  <wp:posOffset>-790575</wp:posOffset>
                </wp:positionH>
                <wp:positionV relativeFrom="paragraph">
                  <wp:posOffset>126365</wp:posOffset>
                </wp:positionV>
                <wp:extent cx="3572510" cy="2009775"/>
                <wp:effectExtent l="0" t="0" r="8890" b="9525"/>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200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0ADA" w:rsidRPr="00C824A8" w:rsidRDefault="00980ADA" w:rsidP="00980ADA">
                            <w:pPr>
                              <w:jc w:val="both"/>
                              <w:rPr>
                                <w:rFonts w:ascii="Tw Cen MT" w:eastAsia="Calibri" w:hAnsi="Tw Cen MT" w:cs="Times New Roman"/>
                                <w:b/>
                                <w:i/>
                                <w:color w:val="5F497A" w:themeColor="accent4" w:themeShade="BF"/>
                                <w:sz w:val="20"/>
                                <w:szCs w:val="20"/>
                                <w:lang w:val="en-GB"/>
                              </w:rPr>
                            </w:pPr>
                            <w:bookmarkStart w:id="0" w:name="_GoBack"/>
                            <w:r w:rsidRPr="00C824A8">
                              <w:rPr>
                                <w:rFonts w:ascii="Tw Cen MT" w:eastAsia="Calibri" w:hAnsi="Tw Cen MT" w:cs="Times New Roman"/>
                                <w:b/>
                                <w:i/>
                                <w:color w:val="5F497A" w:themeColor="accent4" w:themeShade="BF"/>
                                <w:sz w:val="20"/>
                                <w:szCs w:val="20"/>
                                <w:lang w:val="en-GB"/>
                              </w:rPr>
                              <w:t xml:space="preserve">Pound declines as UK Government debt </w:t>
                            </w:r>
                            <w:proofErr w:type="gramStart"/>
                            <w:r w:rsidRPr="00C824A8">
                              <w:rPr>
                                <w:rFonts w:ascii="Tw Cen MT" w:eastAsia="Calibri" w:hAnsi="Tw Cen MT" w:cs="Times New Roman"/>
                                <w:b/>
                                <w:i/>
                                <w:color w:val="5F497A" w:themeColor="accent4" w:themeShade="BF"/>
                                <w:sz w:val="20"/>
                                <w:szCs w:val="20"/>
                                <w:lang w:val="en-GB"/>
                              </w:rPr>
                              <w:t>rises</w:t>
                            </w:r>
                            <w:proofErr w:type="gramEnd"/>
                          </w:p>
                          <w:bookmarkEnd w:id="0"/>
                          <w:p w:rsidR="00980ADA" w:rsidRPr="00980ADA" w:rsidRDefault="00980ADA" w:rsidP="00980ADA">
                            <w:pPr>
                              <w:spacing w:line="240" w:lineRule="auto"/>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Subsequent to the release of an official data on a rise in UK Government’s debt, the Pound declined in value against a basket of currencies on the international market.</w:t>
                            </w:r>
                          </w:p>
                          <w:p w:rsidR="00980ADA" w:rsidRPr="00980ADA" w:rsidRDefault="00980ADA" w:rsidP="00980ADA">
                            <w:pPr>
                              <w:spacing w:after="0" w:line="240" w:lineRule="auto"/>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Public sector net debt excluding public sector banks at the end of August 2015 was about £1,505.5 billion, i.e. 80.6% of GDP, an increase of £68.9 billion when compared with that of August 2014.</w:t>
                            </w:r>
                            <w:r w:rsidRPr="00980ADA">
                              <w:rPr>
                                <w:rFonts w:ascii="Tw Cen MT" w:eastAsia="Calibri" w:hAnsi="Tw Cen MT" w:cs="Times New Roman"/>
                                <w:sz w:val="20"/>
                                <w:szCs w:val="20"/>
                                <w:lang w:val="en-GB"/>
                              </w:rPr>
                              <w:cr/>
                            </w:r>
                          </w:p>
                          <w:p w:rsidR="00980ADA" w:rsidRPr="00980ADA" w:rsidRDefault="00980ADA" w:rsidP="00980ADA">
                            <w:pPr>
                              <w:spacing w:line="240" w:lineRule="auto"/>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Similarly on Ghana’s inter-bank market, the Pound declined in value as it recorded a weekly loss of 2.99% versus the Cedi to settle at an annual yield of 16.59%.</w:t>
                            </w:r>
                          </w:p>
                          <w:p w:rsidR="009F755A" w:rsidRPr="00992D02" w:rsidRDefault="009F755A" w:rsidP="00992D02">
                            <w:pPr>
                              <w:jc w:val="both"/>
                              <w:rPr>
                                <w:rFonts w:ascii="Tw Cen MT" w:eastAsia="Calibri" w:hAnsi="Tw Cen MT" w:cs="Times New Roman"/>
                                <w:sz w:val="20"/>
                                <w:szCs w:val="20"/>
                                <w:lang w:val="en-GB"/>
                              </w:rPr>
                            </w:pPr>
                          </w:p>
                          <w:p w:rsidR="009F755A" w:rsidRDefault="009F755A" w:rsidP="00481CC7">
                            <w:pPr>
                              <w:jc w:val="both"/>
                              <w:rPr>
                                <w:rFonts w:ascii="Tw Cen MT" w:eastAsia="Times New Roman" w:hAnsi="Tw Cen MT" w:cs="Arial"/>
                                <w:sz w:val="20"/>
                                <w:szCs w:val="20"/>
                              </w:rPr>
                            </w:pPr>
                          </w:p>
                          <w:p w:rsidR="009F755A" w:rsidRPr="00481CC7" w:rsidRDefault="009F755A" w:rsidP="00481CC7">
                            <w:pPr>
                              <w:jc w:val="both"/>
                              <w:rPr>
                                <w:rFonts w:ascii="Tw Cen MT" w:eastAsia="Times New Roman" w:hAnsi="Tw Cen MT" w:cs="Arial"/>
                                <w:sz w:val="20"/>
                                <w:szCs w:val="20"/>
                              </w:rPr>
                            </w:pPr>
                          </w:p>
                          <w:p w:rsidR="009F755A" w:rsidRPr="00097CAA" w:rsidRDefault="009F755A" w:rsidP="005E6558">
                            <w:pPr>
                              <w:spacing w:line="240" w:lineRule="auto"/>
                              <w:jc w:val="both"/>
                              <w:rPr>
                                <w:rFonts w:ascii="Tw Cen MT" w:hAnsi="Tw Cen MT"/>
                                <w:sz w:val="20"/>
                                <w:szCs w:val="20"/>
                              </w:rPr>
                            </w:pPr>
                          </w:p>
                          <w:p w:rsidR="009F755A" w:rsidRPr="002943E2" w:rsidRDefault="009F755A" w:rsidP="005E6558">
                            <w:pPr>
                              <w:spacing w:line="240" w:lineRule="auto"/>
                              <w:jc w:val="both"/>
                              <w:rPr>
                                <w:sz w:val="20"/>
                                <w:szCs w:val="20"/>
                              </w:rPr>
                            </w:pPr>
                          </w:p>
                          <w:p w:rsidR="009F755A" w:rsidRPr="001B3AA4" w:rsidRDefault="009F755A" w:rsidP="009F3D66">
                            <w:pPr>
                              <w:spacing w:line="240" w:lineRule="auto"/>
                              <w:jc w:val="both"/>
                              <w:rPr>
                                <w:rFonts w:ascii="Tw Cen MT" w:hAnsi="Tw Cen MT"/>
                                <w:sz w:val="20"/>
                                <w:szCs w:val="20"/>
                              </w:rPr>
                            </w:pPr>
                          </w:p>
                          <w:p w:rsidR="009F755A" w:rsidRPr="00A930B7" w:rsidRDefault="009F755A" w:rsidP="00E85D90">
                            <w:pPr>
                              <w:spacing w:line="240" w:lineRule="auto"/>
                              <w:jc w:val="both"/>
                              <w:rPr>
                                <w:sz w:val="20"/>
                                <w:szCs w:val="20"/>
                              </w:rPr>
                            </w:pPr>
                          </w:p>
                          <w:p w:rsidR="009F755A" w:rsidRDefault="009F755A" w:rsidP="009D1857">
                            <w:pPr>
                              <w:jc w:val="both"/>
                              <w:rPr>
                                <w:rFonts w:ascii="Tw Cen MT" w:hAnsi="Tw Cen MT"/>
                                <w:b/>
                                <w:sz w:val="20"/>
                                <w:szCs w:val="20"/>
                              </w:rPr>
                            </w:pPr>
                          </w:p>
                          <w:p w:rsidR="009F755A" w:rsidRDefault="009F755A" w:rsidP="009D1857">
                            <w:pPr>
                              <w:jc w:val="both"/>
                              <w:rPr>
                                <w:rFonts w:ascii="Tw Cen MT" w:hAnsi="Tw Cen MT"/>
                                <w:b/>
                                <w:sz w:val="20"/>
                                <w:szCs w:val="20"/>
                              </w:rPr>
                            </w:pPr>
                          </w:p>
                          <w:p w:rsidR="009F755A" w:rsidRPr="00C16D53" w:rsidRDefault="009F755A" w:rsidP="00C16D53">
                            <w:pPr>
                              <w:jc w:val="both"/>
                              <w:rPr>
                                <w:rFonts w:ascii="Tw Cen MT" w:hAnsi="Tw Cen MT"/>
                                <w:sz w:val="20"/>
                                <w:szCs w:val="20"/>
                              </w:rPr>
                            </w:pPr>
                          </w:p>
                          <w:p w:rsidR="009F755A" w:rsidRPr="00F26C6C" w:rsidRDefault="009F755A" w:rsidP="004B571D">
                            <w:pPr>
                              <w:jc w:val="both"/>
                              <w:rPr>
                                <w:rFonts w:ascii="Tw Cen MT" w:hAnsi="Tw Cen MT"/>
                                <w:sz w:val="20"/>
                                <w:szCs w:val="20"/>
                              </w:rPr>
                            </w:pPr>
                          </w:p>
                          <w:p w:rsidR="009F755A" w:rsidRPr="00A40011" w:rsidRDefault="009F755A" w:rsidP="0095166F">
                            <w:pPr>
                              <w:rPr>
                                <w:rFonts w:ascii="Tw Cen MT" w:hAnsi="Tw Cen MT"/>
                                <w:sz w:val="20"/>
                                <w:szCs w:val="20"/>
                              </w:rPr>
                            </w:pPr>
                          </w:p>
                          <w:p w:rsidR="009F755A" w:rsidRPr="00313269" w:rsidRDefault="009F755A" w:rsidP="00AF2380">
                            <w:pPr>
                              <w:jc w:val="both"/>
                              <w:rPr>
                                <w:rFonts w:ascii="Tw Cen MT" w:hAnsi="Tw Cen MT"/>
                                <w:sz w:val="20"/>
                                <w:szCs w:val="20"/>
                              </w:rPr>
                            </w:pPr>
                          </w:p>
                          <w:p w:rsidR="009F755A" w:rsidRPr="003342FF" w:rsidRDefault="009F755A" w:rsidP="003342FF">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4" type="#_x0000_t202" style="position:absolute;margin-left:-62.25pt;margin-top:9.95pt;width:281.3pt;height:15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co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" stroked="f">
                <v:textbox>
                  <w:txbxContent>
                    <w:p w:rsidR="00980ADA" w:rsidRPr="00C824A8" w:rsidRDefault="00980ADA" w:rsidP="00980ADA">
                      <w:pPr>
                        <w:jc w:val="both"/>
                        <w:rPr>
                          <w:rFonts w:ascii="Tw Cen MT" w:eastAsia="Calibri" w:hAnsi="Tw Cen MT" w:cs="Times New Roman"/>
                          <w:b/>
                          <w:i/>
                          <w:color w:val="5F497A" w:themeColor="accent4" w:themeShade="BF"/>
                          <w:sz w:val="20"/>
                          <w:szCs w:val="20"/>
                          <w:lang w:val="en-GB"/>
                        </w:rPr>
                      </w:pPr>
                      <w:bookmarkStart w:id="1" w:name="_GoBack"/>
                      <w:r w:rsidRPr="00C824A8">
                        <w:rPr>
                          <w:rFonts w:ascii="Tw Cen MT" w:eastAsia="Calibri" w:hAnsi="Tw Cen MT" w:cs="Times New Roman"/>
                          <w:b/>
                          <w:i/>
                          <w:color w:val="5F497A" w:themeColor="accent4" w:themeShade="BF"/>
                          <w:sz w:val="20"/>
                          <w:szCs w:val="20"/>
                          <w:lang w:val="en-GB"/>
                        </w:rPr>
                        <w:t xml:space="preserve">Pound declines as UK Government debt </w:t>
                      </w:r>
                      <w:proofErr w:type="gramStart"/>
                      <w:r w:rsidRPr="00C824A8">
                        <w:rPr>
                          <w:rFonts w:ascii="Tw Cen MT" w:eastAsia="Calibri" w:hAnsi="Tw Cen MT" w:cs="Times New Roman"/>
                          <w:b/>
                          <w:i/>
                          <w:color w:val="5F497A" w:themeColor="accent4" w:themeShade="BF"/>
                          <w:sz w:val="20"/>
                          <w:szCs w:val="20"/>
                          <w:lang w:val="en-GB"/>
                        </w:rPr>
                        <w:t>rises</w:t>
                      </w:r>
                      <w:proofErr w:type="gramEnd"/>
                    </w:p>
                    <w:bookmarkEnd w:id="1"/>
                    <w:p w:rsidR="00980ADA" w:rsidRPr="00980ADA" w:rsidRDefault="00980ADA" w:rsidP="00980ADA">
                      <w:pPr>
                        <w:spacing w:line="240" w:lineRule="auto"/>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Subsequent to the release of an official data on a rise in UK Government’s debt, the Pound declined in value against a basket of currencies on the international market.</w:t>
                      </w:r>
                    </w:p>
                    <w:p w:rsidR="00980ADA" w:rsidRPr="00980ADA" w:rsidRDefault="00980ADA" w:rsidP="00980ADA">
                      <w:pPr>
                        <w:spacing w:after="0" w:line="240" w:lineRule="auto"/>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Public sector net debt excluding public sector banks at the end of August 2015 was about £1,505.5 billion, i.e. 80.6% of GDP, an increase of £68.9 billion when compared with that of August 2014.</w:t>
                      </w:r>
                      <w:r w:rsidRPr="00980ADA">
                        <w:rPr>
                          <w:rFonts w:ascii="Tw Cen MT" w:eastAsia="Calibri" w:hAnsi="Tw Cen MT" w:cs="Times New Roman"/>
                          <w:sz w:val="20"/>
                          <w:szCs w:val="20"/>
                          <w:lang w:val="en-GB"/>
                        </w:rPr>
                        <w:cr/>
                      </w:r>
                    </w:p>
                    <w:p w:rsidR="00980ADA" w:rsidRPr="00980ADA" w:rsidRDefault="00980ADA" w:rsidP="00980ADA">
                      <w:pPr>
                        <w:spacing w:line="240" w:lineRule="auto"/>
                        <w:jc w:val="both"/>
                        <w:rPr>
                          <w:rFonts w:ascii="Tw Cen MT" w:eastAsia="Calibri" w:hAnsi="Tw Cen MT" w:cs="Times New Roman"/>
                          <w:sz w:val="20"/>
                          <w:szCs w:val="20"/>
                          <w:lang w:val="en-GB"/>
                        </w:rPr>
                      </w:pPr>
                      <w:r w:rsidRPr="00980ADA">
                        <w:rPr>
                          <w:rFonts w:ascii="Tw Cen MT" w:eastAsia="Calibri" w:hAnsi="Tw Cen MT" w:cs="Times New Roman"/>
                          <w:sz w:val="20"/>
                          <w:szCs w:val="20"/>
                          <w:lang w:val="en-GB"/>
                        </w:rPr>
                        <w:t>Similarly on Ghana’s inter-bank market, the Pound declined in value as it recorded a weekly loss of 2.99% versus the Cedi to settle at an annual yield of 16.59%.</w:t>
                      </w:r>
                    </w:p>
                    <w:p w:rsidR="009F755A" w:rsidRPr="00992D02" w:rsidRDefault="009F755A" w:rsidP="00992D02">
                      <w:pPr>
                        <w:jc w:val="both"/>
                        <w:rPr>
                          <w:rFonts w:ascii="Tw Cen MT" w:eastAsia="Calibri" w:hAnsi="Tw Cen MT" w:cs="Times New Roman"/>
                          <w:sz w:val="20"/>
                          <w:szCs w:val="20"/>
                          <w:lang w:val="en-GB"/>
                        </w:rPr>
                      </w:pPr>
                    </w:p>
                    <w:p w:rsidR="009F755A" w:rsidRDefault="009F755A" w:rsidP="00481CC7">
                      <w:pPr>
                        <w:jc w:val="both"/>
                        <w:rPr>
                          <w:rFonts w:ascii="Tw Cen MT" w:eastAsia="Times New Roman" w:hAnsi="Tw Cen MT" w:cs="Arial"/>
                          <w:sz w:val="20"/>
                          <w:szCs w:val="20"/>
                        </w:rPr>
                      </w:pPr>
                    </w:p>
                    <w:p w:rsidR="009F755A" w:rsidRPr="00481CC7" w:rsidRDefault="009F755A" w:rsidP="00481CC7">
                      <w:pPr>
                        <w:jc w:val="both"/>
                        <w:rPr>
                          <w:rFonts w:ascii="Tw Cen MT" w:eastAsia="Times New Roman" w:hAnsi="Tw Cen MT" w:cs="Arial"/>
                          <w:sz w:val="20"/>
                          <w:szCs w:val="20"/>
                        </w:rPr>
                      </w:pPr>
                    </w:p>
                    <w:p w:rsidR="009F755A" w:rsidRPr="00097CAA" w:rsidRDefault="009F755A" w:rsidP="005E6558">
                      <w:pPr>
                        <w:spacing w:line="240" w:lineRule="auto"/>
                        <w:jc w:val="both"/>
                        <w:rPr>
                          <w:rFonts w:ascii="Tw Cen MT" w:hAnsi="Tw Cen MT"/>
                          <w:sz w:val="20"/>
                          <w:szCs w:val="20"/>
                        </w:rPr>
                      </w:pPr>
                    </w:p>
                    <w:p w:rsidR="009F755A" w:rsidRPr="002943E2" w:rsidRDefault="009F755A" w:rsidP="005E6558">
                      <w:pPr>
                        <w:spacing w:line="240" w:lineRule="auto"/>
                        <w:jc w:val="both"/>
                        <w:rPr>
                          <w:sz w:val="20"/>
                          <w:szCs w:val="20"/>
                        </w:rPr>
                      </w:pPr>
                    </w:p>
                    <w:p w:rsidR="009F755A" w:rsidRPr="001B3AA4" w:rsidRDefault="009F755A" w:rsidP="009F3D66">
                      <w:pPr>
                        <w:spacing w:line="240" w:lineRule="auto"/>
                        <w:jc w:val="both"/>
                        <w:rPr>
                          <w:rFonts w:ascii="Tw Cen MT" w:hAnsi="Tw Cen MT"/>
                          <w:sz w:val="20"/>
                          <w:szCs w:val="20"/>
                        </w:rPr>
                      </w:pPr>
                    </w:p>
                    <w:p w:rsidR="009F755A" w:rsidRPr="00A930B7" w:rsidRDefault="009F755A" w:rsidP="00E85D90">
                      <w:pPr>
                        <w:spacing w:line="240" w:lineRule="auto"/>
                        <w:jc w:val="both"/>
                        <w:rPr>
                          <w:sz w:val="20"/>
                          <w:szCs w:val="20"/>
                        </w:rPr>
                      </w:pPr>
                    </w:p>
                    <w:p w:rsidR="009F755A" w:rsidRDefault="009F755A" w:rsidP="009D1857">
                      <w:pPr>
                        <w:jc w:val="both"/>
                        <w:rPr>
                          <w:rFonts w:ascii="Tw Cen MT" w:hAnsi="Tw Cen MT"/>
                          <w:b/>
                          <w:sz w:val="20"/>
                          <w:szCs w:val="20"/>
                        </w:rPr>
                      </w:pPr>
                    </w:p>
                    <w:p w:rsidR="009F755A" w:rsidRDefault="009F755A" w:rsidP="009D1857">
                      <w:pPr>
                        <w:jc w:val="both"/>
                        <w:rPr>
                          <w:rFonts w:ascii="Tw Cen MT" w:hAnsi="Tw Cen MT"/>
                          <w:b/>
                          <w:sz w:val="20"/>
                          <w:szCs w:val="20"/>
                        </w:rPr>
                      </w:pPr>
                    </w:p>
                    <w:p w:rsidR="009F755A" w:rsidRPr="00C16D53" w:rsidRDefault="009F755A" w:rsidP="00C16D53">
                      <w:pPr>
                        <w:jc w:val="both"/>
                        <w:rPr>
                          <w:rFonts w:ascii="Tw Cen MT" w:hAnsi="Tw Cen MT"/>
                          <w:sz w:val="20"/>
                          <w:szCs w:val="20"/>
                        </w:rPr>
                      </w:pPr>
                    </w:p>
                    <w:p w:rsidR="009F755A" w:rsidRPr="00F26C6C" w:rsidRDefault="009F755A" w:rsidP="004B571D">
                      <w:pPr>
                        <w:jc w:val="both"/>
                        <w:rPr>
                          <w:rFonts w:ascii="Tw Cen MT" w:hAnsi="Tw Cen MT"/>
                          <w:sz w:val="20"/>
                          <w:szCs w:val="20"/>
                        </w:rPr>
                      </w:pPr>
                    </w:p>
                    <w:p w:rsidR="009F755A" w:rsidRPr="00A40011" w:rsidRDefault="009F755A" w:rsidP="0095166F">
                      <w:pPr>
                        <w:rPr>
                          <w:rFonts w:ascii="Tw Cen MT" w:hAnsi="Tw Cen MT"/>
                          <w:sz w:val="20"/>
                          <w:szCs w:val="20"/>
                        </w:rPr>
                      </w:pPr>
                    </w:p>
                    <w:p w:rsidR="009F755A" w:rsidRPr="00313269" w:rsidRDefault="009F755A" w:rsidP="00AF2380">
                      <w:pPr>
                        <w:jc w:val="both"/>
                        <w:rPr>
                          <w:rFonts w:ascii="Tw Cen MT" w:hAnsi="Tw Cen MT"/>
                          <w:sz w:val="20"/>
                          <w:szCs w:val="20"/>
                        </w:rPr>
                      </w:pPr>
                    </w:p>
                    <w:p w:rsidR="009F755A" w:rsidRPr="003342FF" w:rsidRDefault="009F755A" w:rsidP="003342FF">
                      <w:pPr>
                        <w:rPr>
                          <w:szCs w:val="20"/>
                        </w:rPr>
                      </w:pPr>
                    </w:p>
                  </w:txbxContent>
                </v:textbox>
              </v:shape>
            </w:pict>
          </mc:Fallback>
        </mc:AlternateContent>
      </w:r>
    </w:p>
    <w:p w:rsidR="007647EC" w:rsidRDefault="007647EC" w:rsidP="007647EC">
      <w:pPr>
        <w:rPr>
          <w:rFonts w:ascii="Tw Cen MT" w:hAnsi="Tw Cen MT"/>
        </w:rPr>
      </w:pPr>
    </w:p>
    <w:p w:rsidR="00FC4F52" w:rsidRPr="007647EC" w:rsidRDefault="00FC4F52" w:rsidP="007647EC">
      <w:pPr>
        <w:rPr>
          <w:rFonts w:ascii="Tw Cen MT" w:hAnsi="Tw Cen MT"/>
        </w:rPr>
      </w:pPr>
    </w:p>
    <w:p w:rsidR="007647EC" w:rsidRPr="007D21C3" w:rsidRDefault="008C4692" w:rsidP="008C4692">
      <w:pPr>
        <w:pStyle w:val="NoSpacing"/>
        <w:rPr>
          <w:color w:val="5F497A" w:themeColor="accent4" w:themeShade="BF"/>
        </w:rPr>
      </w:pPr>
      <w:r>
        <w:rPr>
          <w:noProof/>
        </w:rPr>
        <mc:AlternateContent>
          <mc:Choice Requires="wps">
            <w:drawing>
              <wp:anchor distT="0" distB="0" distL="114300" distR="114300" simplePos="0" relativeHeight="251687936" behindDoc="0" locked="0" layoutInCell="1" allowOverlap="1">
                <wp:simplePos x="0" y="0"/>
                <wp:positionH relativeFrom="column">
                  <wp:posOffset>1181099</wp:posOffset>
                </wp:positionH>
                <wp:positionV relativeFrom="paragraph">
                  <wp:posOffset>1944370</wp:posOffset>
                </wp:positionV>
                <wp:extent cx="2695575" cy="2286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2695575" cy="2286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755A" w:rsidRPr="003E58AC" w:rsidRDefault="009F755A" w:rsidP="008C4692">
                            <w:pPr>
                              <w:jc w:val="center"/>
                              <w:rPr>
                                <w:b/>
                                <w:i/>
                                <w:sz w:val="14"/>
                                <w:szCs w:val="14"/>
                              </w:rPr>
                            </w:pPr>
                            <w:r w:rsidRPr="003E58AC">
                              <w:rPr>
                                <w:b/>
                                <w:i/>
                                <w:sz w:val="14"/>
                                <w:szCs w:val="14"/>
                              </w:rPr>
                              <w:t>NB: The data in this report is Thursday on Thursday (w-o-w)</w:t>
                            </w:r>
                          </w:p>
                          <w:p w:rsidR="009F755A" w:rsidRPr="008C4692" w:rsidRDefault="009F755A">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5" type="#_x0000_t202" style="position:absolute;margin-left:93pt;margin-top:153.1pt;width:212.2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" fillcolor="white [3212]" strokecolor="white [3212]" strokeweight=".5pt">
                <v:textbox>
                  <w:txbxContent>
                    <w:p w:rsidR="001254A2" w:rsidRPr="003E58AC" w:rsidRDefault="001254A2" w:rsidP="008C4692">
                      <w:pPr>
                        <w:jc w:val="center"/>
                        <w:rPr>
                          <w:b/>
                          <w:i/>
                          <w:sz w:val="14"/>
                          <w:szCs w:val="14"/>
                        </w:rPr>
                      </w:pPr>
                      <w:r w:rsidRPr="003E58AC">
                        <w:rPr>
                          <w:b/>
                          <w:i/>
                          <w:sz w:val="14"/>
                          <w:szCs w:val="14"/>
                        </w:rPr>
                        <w:t>NB: The data in this report is Thursday on Thursday (w-o-w)</w:t>
                      </w:r>
                    </w:p>
                    <w:p w:rsidR="001254A2" w:rsidRPr="008C4692" w:rsidRDefault="001254A2">
                      <w:pPr>
                        <w:rPr>
                          <w:sz w:val="12"/>
                          <w:szCs w:val="12"/>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D0B5CA3" wp14:editId="77EDAF01">
                <wp:simplePos x="0" y="0"/>
                <wp:positionH relativeFrom="column">
                  <wp:posOffset>-676910</wp:posOffset>
                </wp:positionH>
                <wp:positionV relativeFrom="paragraph">
                  <wp:posOffset>1410335</wp:posOffset>
                </wp:positionV>
                <wp:extent cx="2484120" cy="533400"/>
                <wp:effectExtent l="0" t="0" r="0" b="0"/>
                <wp:wrapNone/>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55A" w:rsidRPr="0005163F" w:rsidRDefault="009F755A" w:rsidP="009F0DCF">
                            <w:pPr>
                              <w:spacing w:after="0" w:line="240" w:lineRule="auto"/>
                              <w:jc w:val="both"/>
                              <w:rPr>
                                <w:rFonts w:ascii="Tw Cen MT" w:hAnsi="Tw Cen MT"/>
                                <w:b/>
                                <w:bCs/>
                                <w:color w:val="1F497D"/>
                                <w:sz w:val="23"/>
                                <w:szCs w:val="23"/>
                              </w:rPr>
                            </w:pPr>
                            <w:r w:rsidRPr="0005163F">
                              <w:rPr>
                                <w:rFonts w:ascii="Tw Cen MT" w:hAnsi="Tw Cen MT"/>
                                <w:b/>
                                <w:bCs/>
                                <w:color w:val="1F497D"/>
                                <w:sz w:val="23"/>
                                <w:szCs w:val="23"/>
                              </w:rPr>
                              <w:t>Alice Osei Okrah (Head)</w:t>
                            </w:r>
                          </w:p>
                          <w:p w:rsidR="009F755A" w:rsidRPr="00403775" w:rsidRDefault="009F755A" w:rsidP="00FA306A">
                            <w:pPr>
                              <w:spacing w:after="0" w:line="240" w:lineRule="auto"/>
                              <w:jc w:val="both"/>
                              <w:rPr>
                                <w:rFonts w:ascii="Tw Cen MT" w:hAnsi="Tw Cen MT"/>
                                <w:color w:val="000000"/>
                              </w:rPr>
                            </w:pPr>
                            <w:r w:rsidRPr="00403775">
                              <w:rPr>
                                <w:rFonts w:ascii="Tw Cen MT" w:hAnsi="Tw Cen MT"/>
                                <w:color w:val="1F497D"/>
                              </w:rPr>
                              <w:t xml:space="preserve">Email: </w:t>
                            </w:r>
                            <w:hyperlink r:id="rId19" w:history="1">
                              <w:r w:rsidRPr="00403775">
                                <w:rPr>
                                  <w:rStyle w:val="Hyperlink"/>
                                  <w:rFonts w:ascii="Tw Cen MT" w:hAnsi="Tw Cen MT"/>
                                </w:rPr>
                                <w:t>aokrah@sic-fsl.com</w:t>
                              </w:r>
                            </w:hyperlink>
                          </w:p>
                          <w:p w:rsidR="009F755A" w:rsidRPr="00403775" w:rsidRDefault="009F755A" w:rsidP="00FA306A">
                            <w:pPr>
                              <w:spacing w:after="0" w:line="240" w:lineRule="auto"/>
                              <w:rPr>
                                <w:rFonts w:ascii="Tw Cen MT" w:hAnsi="Tw Cen MT"/>
                              </w:rPr>
                            </w:pPr>
                            <w:r w:rsidRPr="00403775">
                              <w:rPr>
                                <w:rFonts w:ascii="Tw Cen MT" w:hAnsi="Tw Cen MT"/>
                              </w:rPr>
                              <w:t xml:space="preserve">Email: </w:t>
                            </w:r>
                            <w:hyperlink r:id="rId20" w:history="1">
                              <w:r w:rsidRPr="00403775">
                                <w:rPr>
                                  <w:rStyle w:val="Hyperlink"/>
                                  <w:rFonts w:ascii="Tw Cen MT" w:hAnsi="Tw Cen MT"/>
                                </w:rPr>
                                <w:t>research@sic-fsl.com</w:t>
                              </w:r>
                            </w:hyperlink>
                          </w:p>
                          <w:p w:rsidR="009F755A" w:rsidRPr="00403775" w:rsidRDefault="009F755A" w:rsidP="009F0D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margin-left:-53.3pt;margin-top:111.05pt;width:195.6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4Ohg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" stroked="f">
                <v:textbox>
                  <w:txbxContent>
                    <w:p w:rsidR="001254A2" w:rsidRPr="0005163F" w:rsidRDefault="001254A2" w:rsidP="009F0DCF">
                      <w:pPr>
                        <w:spacing w:after="0" w:line="240" w:lineRule="auto"/>
                        <w:jc w:val="both"/>
                        <w:rPr>
                          <w:rFonts w:ascii="Tw Cen MT" w:hAnsi="Tw Cen MT"/>
                          <w:b/>
                          <w:bCs/>
                          <w:color w:val="1F497D"/>
                          <w:sz w:val="23"/>
                          <w:szCs w:val="23"/>
                        </w:rPr>
                      </w:pPr>
                      <w:r w:rsidRPr="0005163F">
                        <w:rPr>
                          <w:rFonts w:ascii="Tw Cen MT" w:hAnsi="Tw Cen MT"/>
                          <w:b/>
                          <w:bCs/>
                          <w:color w:val="1F497D"/>
                          <w:sz w:val="23"/>
                          <w:szCs w:val="23"/>
                        </w:rPr>
                        <w:t>Alice Osei Okrah (Head)</w:t>
                      </w:r>
                    </w:p>
                    <w:p w:rsidR="001254A2" w:rsidRPr="00403775" w:rsidRDefault="001254A2" w:rsidP="00FA306A">
                      <w:pPr>
                        <w:spacing w:after="0" w:line="240" w:lineRule="auto"/>
                        <w:jc w:val="both"/>
                        <w:rPr>
                          <w:rFonts w:ascii="Tw Cen MT" w:hAnsi="Tw Cen MT"/>
                          <w:color w:val="000000"/>
                        </w:rPr>
                      </w:pPr>
                      <w:r w:rsidRPr="00403775">
                        <w:rPr>
                          <w:rFonts w:ascii="Tw Cen MT" w:hAnsi="Tw Cen MT"/>
                          <w:color w:val="1F497D"/>
                        </w:rPr>
                        <w:t xml:space="preserve">Email: </w:t>
                      </w:r>
                      <w:hyperlink r:id="rId21" w:history="1">
                        <w:r w:rsidRPr="00403775">
                          <w:rPr>
                            <w:rStyle w:val="Hyperlink"/>
                            <w:rFonts w:ascii="Tw Cen MT" w:hAnsi="Tw Cen MT"/>
                          </w:rPr>
                          <w:t>aokrah@sic-fsl.com</w:t>
                        </w:r>
                      </w:hyperlink>
                    </w:p>
                    <w:p w:rsidR="001254A2" w:rsidRPr="00403775" w:rsidRDefault="001254A2" w:rsidP="00FA306A">
                      <w:pPr>
                        <w:spacing w:after="0" w:line="240" w:lineRule="auto"/>
                        <w:rPr>
                          <w:rFonts w:ascii="Tw Cen MT" w:hAnsi="Tw Cen MT"/>
                        </w:rPr>
                      </w:pPr>
                      <w:r w:rsidRPr="00403775">
                        <w:rPr>
                          <w:rFonts w:ascii="Tw Cen MT" w:hAnsi="Tw Cen MT"/>
                        </w:rPr>
                        <w:t xml:space="preserve">Email: </w:t>
                      </w:r>
                      <w:hyperlink r:id="rId22" w:history="1">
                        <w:r w:rsidRPr="00403775">
                          <w:rPr>
                            <w:rStyle w:val="Hyperlink"/>
                            <w:rFonts w:ascii="Tw Cen MT" w:hAnsi="Tw Cen MT"/>
                          </w:rPr>
                          <w:t>research@sic-fsl.com</w:t>
                        </w:r>
                      </w:hyperlink>
                    </w:p>
                    <w:p w:rsidR="001254A2" w:rsidRPr="00403775" w:rsidRDefault="001254A2" w:rsidP="009F0DCF"/>
                  </w:txbxContent>
                </v:textbox>
              </v:shape>
            </w:pict>
          </mc:Fallback>
        </mc:AlternateContent>
      </w:r>
      <w:r w:rsidR="00EB0AED">
        <w:rPr>
          <w:noProof/>
        </w:rPr>
        <mc:AlternateContent>
          <mc:Choice Requires="wps">
            <w:drawing>
              <wp:anchor distT="0" distB="0" distL="114300" distR="114300" simplePos="0" relativeHeight="251669504" behindDoc="0" locked="0" layoutInCell="1" allowOverlap="1" wp14:anchorId="745FB8BD" wp14:editId="173F22C6">
                <wp:simplePos x="0" y="0"/>
                <wp:positionH relativeFrom="column">
                  <wp:posOffset>3876675</wp:posOffset>
                </wp:positionH>
                <wp:positionV relativeFrom="paragraph">
                  <wp:posOffset>1589405</wp:posOffset>
                </wp:positionV>
                <wp:extent cx="2628900" cy="447675"/>
                <wp:effectExtent l="0" t="0" r="0" b="9525"/>
                <wp:wrapNone/>
                <wp:docPr id="3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55A" w:rsidRPr="00E1177E" w:rsidRDefault="009F755A" w:rsidP="00E1177E">
                            <w:pPr>
                              <w:spacing w:after="0" w:line="240" w:lineRule="auto"/>
                              <w:rPr>
                                <w:rFonts w:ascii="Tw Cen MT" w:hAnsi="Tw Cen MT"/>
                                <w:b/>
                                <w:bCs/>
                                <w:color w:val="1F497D"/>
                                <w:sz w:val="23"/>
                                <w:szCs w:val="23"/>
                              </w:rPr>
                            </w:pPr>
                            <w:r>
                              <w:rPr>
                                <w:rFonts w:ascii="Tw Cen MT" w:hAnsi="Tw Cen MT"/>
                                <w:b/>
                                <w:bCs/>
                                <w:color w:val="1F497D"/>
                                <w:sz w:val="23"/>
                                <w:szCs w:val="23"/>
                              </w:rPr>
                              <w:t>Isaac Kwasi Mensah (</w:t>
                            </w:r>
                            <w:r w:rsidRPr="00E1177E">
                              <w:rPr>
                                <w:rFonts w:ascii="Tw Cen MT" w:hAnsi="Tw Cen MT"/>
                                <w:b/>
                                <w:bCs/>
                                <w:color w:val="1F497D"/>
                                <w:sz w:val="23"/>
                                <w:szCs w:val="23"/>
                              </w:rPr>
                              <w:t xml:space="preserve">Analyst)  </w:t>
                            </w:r>
                            <w:r>
                              <w:rPr>
                                <w:rFonts w:ascii="Tw Cen MT" w:hAnsi="Tw Cen MT"/>
                                <w:b/>
                                <w:bCs/>
                                <w:color w:val="1F497D"/>
                                <w:sz w:val="23"/>
                                <w:szCs w:val="23"/>
                              </w:rPr>
                              <w:tab/>
                            </w:r>
                          </w:p>
                          <w:p w:rsidR="009F755A" w:rsidRPr="00E1177E" w:rsidRDefault="009F755A" w:rsidP="00FA306A">
                            <w:pPr>
                              <w:spacing w:after="0" w:line="240" w:lineRule="auto"/>
                              <w:rPr>
                                <w:rFonts w:ascii="Tw Cen MT" w:hAnsi="Tw Cen MT"/>
                                <w:color w:val="000000"/>
                              </w:rPr>
                            </w:pPr>
                            <w:r w:rsidRPr="00E1177E">
                              <w:rPr>
                                <w:rFonts w:ascii="Tw Cen MT" w:hAnsi="Tw Cen MT"/>
                                <w:color w:val="1F497D"/>
                              </w:rPr>
                              <w:t xml:space="preserve">Email: </w:t>
                            </w:r>
                            <w:r w:rsidRPr="00E1177E">
                              <w:rPr>
                                <w:rFonts w:ascii="Tw Cen MT" w:hAnsi="Tw Cen MT"/>
                                <w:color w:val="0000FF"/>
                                <w:u w:val="single"/>
                              </w:rPr>
                              <w:t xml:space="preserve"> </w:t>
                            </w:r>
                            <w:hyperlink r:id="rId23" w:history="1">
                              <w:r w:rsidRPr="00E1177E">
                                <w:rPr>
                                  <w:rStyle w:val="Hyperlink"/>
                                  <w:rFonts w:ascii="Tw Cen MT" w:hAnsi="Tw Cen MT"/>
                                </w:rPr>
                                <w:t>ikmensah@sic-fsl.com</w:t>
                              </w:r>
                            </w:hyperlink>
                            <w:r w:rsidRPr="00E1177E">
                              <w:tab/>
                            </w:r>
                            <w:r w:rsidRPr="00E1177E">
                              <w:tab/>
                            </w:r>
                            <w:r w:rsidRPr="00E1177E">
                              <w:tab/>
                            </w:r>
                          </w:p>
                          <w:p w:rsidR="009F755A" w:rsidRPr="002462C3" w:rsidRDefault="009F755A" w:rsidP="009F0DCF">
                            <w:pPr>
                              <w:spacing w:after="0" w:line="240" w:lineRule="auto"/>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305.25pt;margin-top:125.15pt;width:207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WBQhgIAABk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" stroked="f">
                <v:textbox>
                  <w:txbxContent>
                    <w:p w:rsidR="001254A2" w:rsidRPr="00E1177E" w:rsidRDefault="001254A2" w:rsidP="00E1177E">
                      <w:pPr>
                        <w:spacing w:after="0" w:line="240" w:lineRule="auto"/>
                        <w:rPr>
                          <w:rFonts w:ascii="Tw Cen MT" w:hAnsi="Tw Cen MT"/>
                          <w:b/>
                          <w:bCs/>
                          <w:color w:val="1F497D"/>
                          <w:sz w:val="23"/>
                          <w:szCs w:val="23"/>
                        </w:rPr>
                      </w:pPr>
                      <w:r>
                        <w:rPr>
                          <w:rFonts w:ascii="Tw Cen MT" w:hAnsi="Tw Cen MT"/>
                          <w:b/>
                          <w:bCs/>
                          <w:color w:val="1F497D"/>
                          <w:sz w:val="23"/>
                          <w:szCs w:val="23"/>
                        </w:rPr>
                        <w:t>Isaac Kwasi Mensah (</w:t>
                      </w:r>
                      <w:r w:rsidRPr="00E1177E">
                        <w:rPr>
                          <w:rFonts w:ascii="Tw Cen MT" w:hAnsi="Tw Cen MT"/>
                          <w:b/>
                          <w:bCs/>
                          <w:color w:val="1F497D"/>
                          <w:sz w:val="23"/>
                          <w:szCs w:val="23"/>
                        </w:rPr>
                        <w:t xml:space="preserve">Analyst)  </w:t>
                      </w:r>
                      <w:r>
                        <w:rPr>
                          <w:rFonts w:ascii="Tw Cen MT" w:hAnsi="Tw Cen MT"/>
                          <w:b/>
                          <w:bCs/>
                          <w:color w:val="1F497D"/>
                          <w:sz w:val="23"/>
                          <w:szCs w:val="23"/>
                        </w:rPr>
                        <w:tab/>
                      </w:r>
                    </w:p>
                    <w:p w:rsidR="001254A2" w:rsidRPr="00E1177E" w:rsidRDefault="001254A2" w:rsidP="00FA306A">
                      <w:pPr>
                        <w:spacing w:after="0" w:line="240" w:lineRule="auto"/>
                        <w:rPr>
                          <w:rFonts w:ascii="Tw Cen MT" w:hAnsi="Tw Cen MT"/>
                          <w:color w:val="000000"/>
                        </w:rPr>
                      </w:pPr>
                      <w:r w:rsidRPr="00E1177E">
                        <w:rPr>
                          <w:rFonts w:ascii="Tw Cen MT" w:hAnsi="Tw Cen MT"/>
                          <w:color w:val="1F497D"/>
                        </w:rPr>
                        <w:t xml:space="preserve">Email: </w:t>
                      </w:r>
                      <w:r w:rsidRPr="00E1177E">
                        <w:rPr>
                          <w:rFonts w:ascii="Tw Cen MT" w:hAnsi="Tw Cen MT"/>
                          <w:color w:val="0000FF"/>
                          <w:u w:val="single"/>
                        </w:rPr>
                        <w:t xml:space="preserve"> </w:t>
                      </w:r>
                      <w:hyperlink r:id="rId24" w:history="1">
                        <w:r w:rsidRPr="00E1177E">
                          <w:rPr>
                            <w:rStyle w:val="Hyperlink"/>
                            <w:rFonts w:ascii="Tw Cen MT" w:hAnsi="Tw Cen MT"/>
                          </w:rPr>
                          <w:t>ikmensah@sic-fsl.com</w:t>
                        </w:r>
                      </w:hyperlink>
                      <w:r w:rsidRPr="00E1177E">
                        <w:tab/>
                      </w:r>
                      <w:r w:rsidRPr="00E1177E">
                        <w:tab/>
                      </w:r>
                      <w:r w:rsidRPr="00E1177E">
                        <w:tab/>
                      </w:r>
                    </w:p>
                    <w:p w:rsidR="001254A2" w:rsidRPr="002462C3" w:rsidRDefault="001254A2" w:rsidP="009F0DCF">
                      <w:pPr>
                        <w:spacing w:after="0" w:line="240" w:lineRule="auto"/>
                        <w:rPr>
                          <w:rFonts w:ascii="Tw Cen MT" w:hAnsi="Tw Cen MT"/>
                          <w:sz w:val="20"/>
                          <w:szCs w:val="20"/>
                        </w:rPr>
                      </w:pPr>
                    </w:p>
                  </w:txbxContent>
                </v:textbox>
              </v:shape>
            </w:pict>
          </mc:Fallback>
        </mc:AlternateContent>
      </w:r>
      <w:r w:rsidR="0051195B">
        <w:rPr>
          <w:noProof/>
        </w:rPr>
        <mc:AlternateContent>
          <mc:Choice Requires="wps">
            <w:drawing>
              <wp:anchor distT="0" distB="0" distL="114300" distR="114300" simplePos="0" relativeHeight="251667456" behindDoc="0" locked="0" layoutInCell="1" allowOverlap="1" wp14:anchorId="6C25BFFF" wp14:editId="7F439112">
                <wp:simplePos x="0" y="0"/>
                <wp:positionH relativeFrom="column">
                  <wp:posOffset>1185545</wp:posOffset>
                </wp:positionH>
                <wp:positionV relativeFrom="paragraph">
                  <wp:posOffset>2324735</wp:posOffset>
                </wp:positionV>
                <wp:extent cx="2638425" cy="219075"/>
                <wp:effectExtent l="0" t="0" r="28575" b="28575"/>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190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F755A" w:rsidRPr="00DB12DE" w:rsidRDefault="009F755A" w:rsidP="00D15964">
                            <w:pPr>
                              <w:jc w:val="center"/>
                              <w:rPr>
                                <w:b/>
                                <w:i/>
                                <w:sz w:val="15"/>
                                <w:szCs w:val="15"/>
                              </w:rPr>
                            </w:pPr>
                            <w:r w:rsidRPr="00DB12DE">
                              <w:rPr>
                                <w:b/>
                                <w:i/>
                                <w:sz w:val="15"/>
                                <w:szCs w:val="15"/>
                              </w:rPr>
                              <w:t>NB: The data in this report is Thursday on Thursday (w-o-w)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8" type="#_x0000_t202" style="position:absolute;margin-left:93.35pt;margin-top:183.05pt;width:207.7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" fillcolor="white [3212]" strokecolor="white [3212]">
                <v:textbox>
                  <w:txbxContent>
                    <w:p w:rsidR="001254A2" w:rsidRPr="00DB12DE" w:rsidRDefault="001254A2" w:rsidP="00D15964">
                      <w:pPr>
                        <w:jc w:val="center"/>
                        <w:rPr>
                          <w:b/>
                          <w:i/>
                          <w:sz w:val="15"/>
                          <w:szCs w:val="15"/>
                        </w:rPr>
                      </w:pPr>
                      <w:r w:rsidRPr="00DB12DE">
                        <w:rPr>
                          <w:b/>
                          <w:i/>
                          <w:sz w:val="15"/>
                          <w:szCs w:val="15"/>
                        </w:rPr>
                        <w:t>NB: The data in this report is Thursday on Thursday (w-o-w)</w:t>
                      </w:r>
                    </w:p>
                  </w:txbxContent>
                </v:textbox>
              </v:shape>
            </w:pict>
          </mc:Fallback>
        </mc:AlternateContent>
      </w:r>
      <w:r w:rsidR="00140909">
        <w:t xml:space="preserve"> </w:t>
      </w:r>
      <w:r w:rsidR="0041166C">
        <w:tab/>
      </w:r>
    </w:p>
    <w:sectPr w:rsidR="007647EC" w:rsidRPr="007D21C3" w:rsidSect="00DC19E8">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55A" w:rsidRDefault="009F755A" w:rsidP="005F1FC2">
      <w:pPr>
        <w:spacing w:after="0" w:line="240" w:lineRule="auto"/>
      </w:pPr>
      <w:r>
        <w:separator/>
      </w:r>
    </w:p>
  </w:endnote>
  <w:endnote w:type="continuationSeparator" w:id="0">
    <w:p w:rsidR="009F755A" w:rsidRDefault="009F755A" w:rsidP="005F1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55A" w:rsidRDefault="009F755A" w:rsidP="005F1FC2">
      <w:pPr>
        <w:spacing w:after="0" w:line="240" w:lineRule="auto"/>
      </w:pPr>
      <w:r>
        <w:separator/>
      </w:r>
    </w:p>
  </w:footnote>
  <w:footnote w:type="continuationSeparator" w:id="0">
    <w:p w:rsidR="009F755A" w:rsidRDefault="009F755A" w:rsidP="005F1F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55A" w:rsidRDefault="009F755A">
    <w:pPr>
      <w:pStyle w:val="Header"/>
    </w:pPr>
  </w:p>
  <w:p w:rsidR="009F755A" w:rsidRDefault="009F755A">
    <w:pPr>
      <w:pStyle w:val="Header"/>
    </w:pPr>
  </w:p>
  <w:p w:rsidR="009F755A" w:rsidRDefault="009F755A">
    <w:pPr>
      <w:pStyle w:val="Header"/>
    </w:pPr>
  </w:p>
  <w:p w:rsidR="009F755A" w:rsidRDefault="009F755A">
    <w:pPr>
      <w:pStyle w:val="Header"/>
    </w:pPr>
  </w:p>
  <w:p w:rsidR="009F755A" w:rsidRDefault="009F75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6AB"/>
    <w:multiLevelType w:val="hybridMultilevel"/>
    <w:tmpl w:val="BEB6E75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239676DF"/>
    <w:multiLevelType w:val="hybridMultilevel"/>
    <w:tmpl w:val="3A02B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E46C8D"/>
    <w:multiLevelType w:val="hybridMultilevel"/>
    <w:tmpl w:val="5FDC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AB1E5B"/>
    <w:multiLevelType w:val="hybridMultilevel"/>
    <w:tmpl w:val="87E61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0A4A90"/>
    <w:multiLevelType w:val="hybridMultilevel"/>
    <w:tmpl w:val="9498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D3716B"/>
    <w:multiLevelType w:val="hybridMultilevel"/>
    <w:tmpl w:val="ECB23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ED459A"/>
    <w:multiLevelType w:val="hybridMultilevel"/>
    <w:tmpl w:val="ED1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5"/>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386"/>
    <w:rsid w:val="00000C04"/>
    <w:rsid w:val="00001207"/>
    <w:rsid w:val="000015BC"/>
    <w:rsid w:val="00001B78"/>
    <w:rsid w:val="000026F2"/>
    <w:rsid w:val="000035DE"/>
    <w:rsid w:val="00005CDC"/>
    <w:rsid w:val="00006AC5"/>
    <w:rsid w:val="00006BD8"/>
    <w:rsid w:val="00006C76"/>
    <w:rsid w:val="00010047"/>
    <w:rsid w:val="000103D6"/>
    <w:rsid w:val="00010628"/>
    <w:rsid w:val="00010998"/>
    <w:rsid w:val="00010CC9"/>
    <w:rsid w:val="0001125E"/>
    <w:rsid w:val="000112D9"/>
    <w:rsid w:val="00011D86"/>
    <w:rsid w:val="00012079"/>
    <w:rsid w:val="00012988"/>
    <w:rsid w:val="00012F4E"/>
    <w:rsid w:val="00012FC0"/>
    <w:rsid w:val="000154EE"/>
    <w:rsid w:val="00015754"/>
    <w:rsid w:val="00015AB0"/>
    <w:rsid w:val="00015BB1"/>
    <w:rsid w:val="000173AF"/>
    <w:rsid w:val="00020752"/>
    <w:rsid w:val="00020E78"/>
    <w:rsid w:val="000223D4"/>
    <w:rsid w:val="0002264E"/>
    <w:rsid w:val="00023945"/>
    <w:rsid w:val="00024568"/>
    <w:rsid w:val="000248CB"/>
    <w:rsid w:val="0002505C"/>
    <w:rsid w:val="00025104"/>
    <w:rsid w:val="000256BC"/>
    <w:rsid w:val="00026932"/>
    <w:rsid w:val="00026C5E"/>
    <w:rsid w:val="00026E6D"/>
    <w:rsid w:val="00030B33"/>
    <w:rsid w:val="0003100E"/>
    <w:rsid w:val="00031950"/>
    <w:rsid w:val="00031D74"/>
    <w:rsid w:val="00034471"/>
    <w:rsid w:val="00034FF4"/>
    <w:rsid w:val="00036B12"/>
    <w:rsid w:val="00037896"/>
    <w:rsid w:val="000379E5"/>
    <w:rsid w:val="00040D6F"/>
    <w:rsid w:val="000423D5"/>
    <w:rsid w:val="00042F6E"/>
    <w:rsid w:val="00043893"/>
    <w:rsid w:val="00044AD7"/>
    <w:rsid w:val="00044FA0"/>
    <w:rsid w:val="000453F0"/>
    <w:rsid w:val="00045A43"/>
    <w:rsid w:val="00045E59"/>
    <w:rsid w:val="000460D7"/>
    <w:rsid w:val="000500C0"/>
    <w:rsid w:val="00050920"/>
    <w:rsid w:val="0005163F"/>
    <w:rsid w:val="0005182D"/>
    <w:rsid w:val="0005278E"/>
    <w:rsid w:val="00053C7B"/>
    <w:rsid w:val="00054D92"/>
    <w:rsid w:val="0005559C"/>
    <w:rsid w:val="000558F2"/>
    <w:rsid w:val="000561AD"/>
    <w:rsid w:val="0005625F"/>
    <w:rsid w:val="000602C3"/>
    <w:rsid w:val="00060D36"/>
    <w:rsid w:val="00061B2D"/>
    <w:rsid w:val="000637FF"/>
    <w:rsid w:val="00064BAA"/>
    <w:rsid w:val="00064F1B"/>
    <w:rsid w:val="000651CF"/>
    <w:rsid w:val="000653C3"/>
    <w:rsid w:val="0006573E"/>
    <w:rsid w:val="000658BD"/>
    <w:rsid w:val="00066E17"/>
    <w:rsid w:val="00066F61"/>
    <w:rsid w:val="00070695"/>
    <w:rsid w:val="00070A83"/>
    <w:rsid w:val="00073029"/>
    <w:rsid w:val="0007317F"/>
    <w:rsid w:val="00073520"/>
    <w:rsid w:val="0007471B"/>
    <w:rsid w:val="00075050"/>
    <w:rsid w:val="00075452"/>
    <w:rsid w:val="000767BF"/>
    <w:rsid w:val="00076DF0"/>
    <w:rsid w:val="0007712E"/>
    <w:rsid w:val="00081E01"/>
    <w:rsid w:val="00082321"/>
    <w:rsid w:val="000855CD"/>
    <w:rsid w:val="00085CC5"/>
    <w:rsid w:val="00086ABB"/>
    <w:rsid w:val="00086F9C"/>
    <w:rsid w:val="000872E4"/>
    <w:rsid w:val="000901EE"/>
    <w:rsid w:val="0009024E"/>
    <w:rsid w:val="000906E8"/>
    <w:rsid w:val="00091484"/>
    <w:rsid w:val="00091CF6"/>
    <w:rsid w:val="00092A4D"/>
    <w:rsid w:val="00092F3A"/>
    <w:rsid w:val="00093AD0"/>
    <w:rsid w:val="00093BC3"/>
    <w:rsid w:val="00094859"/>
    <w:rsid w:val="00094A1C"/>
    <w:rsid w:val="0009651B"/>
    <w:rsid w:val="0009677D"/>
    <w:rsid w:val="0009799C"/>
    <w:rsid w:val="00097CAA"/>
    <w:rsid w:val="000A189D"/>
    <w:rsid w:val="000A21A3"/>
    <w:rsid w:val="000A291E"/>
    <w:rsid w:val="000A35D7"/>
    <w:rsid w:val="000A3E2B"/>
    <w:rsid w:val="000A5526"/>
    <w:rsid w:val="000A614B"/>
    <w:rsid w:val="000A6232"/>
    <w:rsid w:val="000A72FE"/>
    <w:rsid w:val="000A765C"/>
    <w:rsid w:val="000A7FAE"/>
    <w:rsid w:val="000B03D4"/>
    <w:rsid w:val="000B1183"/>
    <w:rsid w:val="000B1F34"/>
    <w:rsid w:val="000B1FF6"/>
    <w:rsid w:val="000B210F"/>
    <w:rsid w:val="000B2718"/>
    <w:rsid w:val="000B28CF"/>
    <w:rsid w:val="000B3FB7"/>
    <w:rsid w:val="000B4465"/>
    <w:rsid w:val="000B5876"/>
    <w:rsid w:val="000B5D3F"/>
    <w:rsid w:val="000B5EAF"/>
    <w:rsid w:val="000B61C9"/>
    <w:rsid w:val="000B7079"/>
    <w:rsid w:val="000B7185"/>
    <w:rsid w:val="000C0DEA"/>
    <w:rsid w:val="000C34F8"/>
    <w:rsid w:val="000C38E6"/>
    <w:rsid w:val="000C3B29"/>
    <w:rsid w:val="000C3D9E"/>
    <w:rsid w:val="000C6687"/>
    <w:rsid w:val="000C7E6E"/>
    <w:rsid w:val="000C7FAC"/>
    <w:rsid w:val="000D06B4"/>
    <w:rsid w:val="000D11B3"/>
    <w:rsid w:val="000D14CB"/>
    <w:rsid w:val="000D20DC"/>
    <w:rsid w:val="000D28DF"/>
    <w:rsid w:val="000D2AD1"/>
    <w:rsid w:val="000D3994"/>
    <w:rsid w:val="000D5D61"/>
    <w:rsid w:val="000D5FA5"/>
    <w:rsid w:val="000D6B9C"/>
    <w:rsid w:val="000D6EC7"/>
    <w:rsid w:val="000D7023"/>
    <w:rsid w:val="000E0AB6"/>
    <w:rsid w:val="000E12A6"/>
    <w:rsid w:val="000E1D0D"/>
    <w:rsid w:val="000E3499"/>
    <w:rsid w:val="000E3B55"/>
    <w:rsid w:val="000E4F50"/>
    <w:rsid w:val="000E7278"/>
    <w:rsid w:val="000E78CE"/>
    <w:rsid w:val="000E7E69"/>
    <w:rsid w:val="000F0FB4"/>
    <w:rsid w:val="000F19D7"/>
    <w:rsid w:val="000F2969"/>
    <w:rsid w:val="000F2B03"/>
    <w:rsid w:val="000F31B8"/>
    <w:rsid w:val="000F340B"/>
    <w:rsid w:val="000F40DE"/>
    <w:rsid w:val="000F4CD4"/>
    <w:rsid w:val="000F5541"/>
    <w:rsid w:val="000F640D"/>
    <w:rsid w:val="000F7060"/>
    <w:rsid w:val="000F73C2"/>
    <w:rsid w:val="000F76BC"/>
    <w:rsid w:val="000F79D2"/>
    <w:rsid w:val="0010018F"/>
    <w:rsid w:val="00100B77"/>
    <w:rsid w:val="00100B93"/>
    <w:rsid w:val="00101CCE"/>
    <w:rsid w:val="00102B15"/>
    <w:rsid w:val="00102B90"/>
    <w:rsid w:val="0010340F"/>
    <w:rsid w:val="00103911"/>
    <w:rsid w:val="00103D07"/>
    <w:rsid w:val="00106014"/>
    <w:rsid w:val="001060C6"/>
    <w:rsid w:val="00111BEC"/>
    <w:rsid w:val="001123BB"/>
    <w:rsid w:val="00112A50"/>
    <w:rsid w:val="00112E0D"/>
    <w:rsid w:val="00113441"/>
    <w:rsid w:val="00113B8C"/>
    <w:rsid w:val="001142CB"/>
    <w:rsid w:val="00116325"/>
    <w:rsid w:val="00116593"/>
    <w:rsid w:val="00116F5E"/>
    <w:rsid w:val="001202BA"/>
    <w:rsid w:val="00120AC8"/>
    <w:rsid w:val="001226CF"/>
    <w:rsid w:val="00122E93"/>
    <w:rsid w:val="00124807"/>
    <w:rsid w:val="001254A2"/>
    <w:rsid w:val="00125B83"/>
    <w:rsid w:val="001261AD"/>
    <w:rsid w:val="00130BBE"/>
    <w:rsid w:val="00131576"/>
    <w:rsid w:val="00132DA4"/>
    <w:rsid w:val="00133EE2"/>
    <w:rsid w:val="00134F32"/>
    <w:rsid w:val="00135224"/>
    <w:rsid w:val="001352E6"/>
    <w:rsid w:val="00136086"/>
    <w:rsid w:val="00136183"/>
    <w:rsid w:val="00137264"/>
    <w:rsid w:val="00137B23"/>
    <w:rsid w:val="00140659"/>
    <w:rsid w:val="00140909"/>
    <w:rsid w:val="00140D0B"/>
    <w:rsid w:val="00144FE2"/>
    <w:rsid w:val="0014517E"/>
    <w:rsid w:val="00145E0F"/>
    <w:rsid w:val="00146E29"/>
    <w:rsid w:val="00150ED5"/>
    <w:rsid w:val="001510D5"/>
    <w:rsid w:val="001522CB"/>
    <w:rsid w:val="00153E04"/>
    <w:rsid w:val="0015436A"/>
    <w:rsid w:val="00155AE5"/>
    <w:rsid w:val="00155E5A"/>
    <w:rsid w:val="001566DC"/>
    <w:rsid w:val="00156825"/>
    <w:rsid w:val="00156B3E"/>
    <w:rsid w:val="00157683"/>
    <w:rsid w:val="00157AD8"/>
    <w:rsid w:val="00157E9C"/>
    <w:rsid w:val="001608B6"/>
    <w:rsid w:val="00161984"/>
    <w:rsid w:val="001647AE"/>
    <w:rsid w:val="00165D91"/>
    <w:rsid w:val="00165E1A"/>
    <w:rsid w:val="00166A0E"/>
    <w:rsid w:val="00167BAC"/>
    <w:rsid w:val="00170C38"/>
    <w:rsid w:val="001715EE"/>
    <w:rsid w:val="0017241F"/>
    <w:rsid w:val="00173817"/>
    <w:rsid w:val="00175129"/>
    <w:rsid w:val="0017611E"/>
    <w:rsid w:val="00180E56"/>
    <w:rsid w:val="0018225E"/>
    <w:rsid w:val="00184545"/>
    <w:rsid w:val="001845F2"/>
    <w:rsid w:val="00185264"/>
    <w:rsid w:val="00186EE2"/>
    <w:rsid w:val="00187ACF"/>
    <w:rsid w:val="00194201"/>
    <w:rsid w:val="0019464A"/>
    <w:rsid w:val="0019498B"/>
    <w:rsid w:val="001955C6"/>
    <w:rsid w:val="00195D19"/>
    <w:rsid w:val="0019648C"/>
    <w:rsid w:val="001A00A7"/>
    <w:rsid w:val="001A0C64"/>
    <w:rsid w:val="001A13D0"/>
    <w:rsid w:val="001A14CE"/>
    <w:rsid w:val="001A17A1"/>
    <w:rsid w:val="001A42BB"/>
    <w:rsid w:val="001A6443"/>
    <w:rsid w:val="001A6A71"/>
    <w:rsid w:val="001A7109"/>
    <w:rsid w:val="001A7553"/>
    <w:rsid w:val="001A78E3"/>
    <w:rsid w:val="001B0495"/>
    <w:rsid w:val="001B08C5"/>
    <w:rsid w:val="001B12AF"/>
    <w:rsid w:val="001B2637"/>
    <w:rsid w:val="001B27B7"/>
    <w:rsid w:val="001B2C21"/>
    <w:rsid w:val="001B2D2C"/>
    <w:rsid w:val="001B4892"/>
    <w:rsid w:val="001B48BF"/>
    <w:rsid w:val="001B4D4C"/>
    <w:rsid w:val="001B5396"/>
    <w:rsid w:val="001B5BD1"/>
    <w:rsid w:val="001B6131"/>
    <w:rsid w:val="001B7D24"/>
    <w:rsid w:val="001C193C"/>
    <w:rsid w:val="001C3BF5"/>
    <w:rsid w:val="001C5FD0"/>
    <w:rsid w:val="001C6AD6"/>
    <w:rsid w:val="001C6BA2"/>
    <w:rsid w:val="001C77A0"/>
    <w:rsid w:val="001D0774"/>
    <w:rsid w:val="001D212D"/>
    <w:rsid w:val="001D2409"/>
    <w:rsid w:val="001D3E23"/>
    <w:rsid w:val="001D4B14"/>
    <w:rsid w:val="001D5530"/>
    <w:rsid w:val="001D5830"/>
    <w:rsid w:val="001D6404"/>
    <w:rsid w:val="001D67A7"/>
    <w:rsid w:val="001D6E05"/>
    <w:rsid w:val="001E06C9"/>
    <w:rsid w:val="001E2C96"/>
    <w:rsid w:val="001E338F"/>
    <w:rsid w:val="001E39E3"/>
    <w:rsid w:val="001E44DB"/>
    <w:rsid w:val="001E46DF"/>
    <w:rsid w:val="001E5615"/>
    <w:rsid w:val="001E771D"/>
    <w:rsid w:val="001F0EE8"/>
    <w:rsid w:val="001F12FF"/>
    <w:rsid w:val="001F2176"/>
    <w:rsid w:val="001F23F9"/>
    <w:rsid w:val="001F25E4"/>
    <w:rsid w:val="001F26D9"/>
    <w:rsid w:val="001F474A"/>
    <w:rsid w:val="001F6027"/>
    <w:rsid w:val="001F6903"/>
    <w:rsid w:val="001F6C21"/>
    <w:rsid w:val="002019DB"/>
    <w:rsid w:val="00203635"/>
    <w:rsid w:val="00203997"/>
    <w:rsid w:val="00204325"/>
    <w:rsid w:val="00205717"/>
    <w:rsid w:val="002073F6"/>
    <w:rsid w:val="00210A1E"/>
    <w:rsid w:val="00211EEA"/>
    <w:rsid w:val="00212770"/>
    <w:rsid w:val="00213280"/>
    <w:rsid w:val="00213F75"/>
    <w:rsid w:val="0021475A"/>
    <w:rsid w:val="00216221"/>
    <w:rsid w:val="00221E50"/>
    <w:rsid w:val="00222069"/>
    <w:rsid w:val="002225C5"/>
    <w:rsid w:val="00223C1E"/>
    <w:rsid w:val="00223D45"/>
    <w:rsid w:val="00224D5C"/>
    <w:rsid w:val="00225938"/>
    <w:rsid w:val="00226349"/>
    <w:rsid w:val="002278A0"/>
    <w:rsid w:val="0023085C"/>
    <w:rsid w:val="00231529"/>
    <w:rsid w:val="00231F04"/>
    <w:rsid w:val="00231F25"/>
    <w:rsid w:val="002321F4"/>
    <w:rsid w:val="00232A62"/>
    <w:rsid w:val="00233A53"/>
    <w:rsid w:val="0023416D"/>
    <w:rsid w:val="00234616"/>
    <w:rsid w:val="00234837"/>
    <w:rsid w:val="0023711B"/>
    <w:rsid w:val="00237732"/>
    <w:rsid w:val="00242C0F"/>
    <w:rsid w:val="002434F8"/>
    <w:rsid w:val="00243509"/>
    <w:rsid w:val="00243898"/>
    <w:rsid w:val="00243DA2"/>
    <w:rsid w:val="00243F13"/>
    <w:rsid w:val="002441CA"/>
    <w:rsid w:val="00244246"/>
    <w:rsid w:val="00244F8F"/>
    <w:rsid w:val="002462C3"/>
    <w:rsid w:val="002462DB"/>
    <w:rsid w:val="00246AD0"/>
    <w:rsid w:val="00250271"/>
    <w:rsid w:val="00250659"/>
    <w:rsid w:val="0025077C"/>
    <w:rsid w:val="00250E65"/>
    <w:rsid w:val="0025254D"/>
    <w:rsid w:val="0025273F"/>
    <w:rsid w:val="00252FB8"/>
    <w:rsid w:val="00255109"/>
    <w:rsid w:val="002556D6"/>
    <w:rsid w:val="00255A6F"/>
    <w:rsid w:val="00255CE8"/>
    <w:rsid w:val="00257058"/>
    <w:rsid w:val="0025731C"/>
    <w:rsid w:val="0026034E"/>
    <w:rsid w:val="002606EF"/>
    <w:rsid w:val="00260BD4"/>
    <w:rsid w:val="0026128F"/>
    <w:rsid w:val="002622F0"/>
    <w:rsid w:val="002633C4"/>
    <w:rsid w:val="00264D6E"/>
    <w:rsid w:val="002651BB"/>
    <w:rsid w:val="00265258"/>
    <w:rsid w:val="00265362"/>
    <w:rsid w:val="00265D52"/>
    <w:rsid w:val="00265D69"/>
    <w:rsid w:val="00266252"/>
    <w:rsid w:val="0026684F"/>
    <w:rsid w:val="0027143A"/>
    <w:rsid w:val="002716BB"/>
    <w:rsid w:val="00272800"/>
    <w:rsid w:val="00273D9A"/>
    <w:rsid w:val="00275883"/>
    <w:rsid w:val="00276013"/>
    <w:rsid w:val="00276AA2"/>
    <w:rsid w:val="00276C6B"/>
    <w:rsid w:val="00276FCB"/>
    <w:rsid w:val="002775C2"/>
    <w:rsid w:val="00280F69"/>
    <w:rsid w:val="00281398"/>
    <w:rsid w:val="0028208C"/>
    <w:rsid w:val="00283703"/>
    <w:rsid w:val="00284077"/>
    <w:rsid w:val="002840B7"/>
    <w:rsid w:val="00284111"/>
    <w:rsid w:val="00284216"/>
    <w:rsid w:val="00284BBF"/>
    <w:rsid w:val="00284DC7"/>
    <w:rsid w:val="00284F7C"/>
    <w:rsid w:val="00285041"/>
    <w:rsid w:val="00285B6B"/>
    <w:rsid w:val="002860C7"/>
    <w:rsid w:val="0028632F"/>
    <w:rsid w:val="00286EE4"/>
    <w:rsid w:val="0028755E"/>
    <w:rsid w:val="00290402"/>
    <w:rsid w:val="00291911"/>
    <w:rsid w:val="002928AB"/>
    <w:rsid w:val="00292C5A"/>
    <w:rsid w:val="00294AAC"/>
    <w:rsid w:val="002970B9"/>
    <w:rsid w:val="00297424"/>
    <w:rsid w:val="00297F65"/>
    <w:rsid w:val="002A06D6"/>
    <w:rsid w:val="002A0D85"/>
    <w:rsid w:val="002A106B"/>
    <w:rsid w:val="002A32B3"/>
    <w:rsid w:val="002A43BA"/>
    <w:rsid w:val="002A440D"/>
    <w:rsid w:val="002A4C99"/>
    <w:rsid w:val="002A4CE5"/>
    <w:rsid w:val="002A4D1F"/>
    <w:rsid w:val="002A6C6C"/>
    <w:rsid w:val="002A7135"/>
    <w:rsid w:val="002B0274"/>
    <w:rsid w:val="002B1AAF"/>
    <w:rsid w:val="002B215E"/>
    <w:rsid w:val="002B29B1"/>
    <w:rsid w:val="002B3882"/>
    <w:rsid w:val="002B5212"/>
    <w:rsid w:val="002B5870"/>
    <w:rsid w:val="002B5D8B"/>
    <w:rsid w:val="002C2A74"/>
    <w:rsid w:val="002C40FA"/>
    <w:rsid w:val="002C49D7"/>
    <w:rsid w:val="002D23DD"/>
    <w:rsid w:val="002D3E28"/>
    <w:rsid w:val="002D3EB3"/>
    <w:rsid w:val="002D443F"/>
    <w:rsid w:val="002D4E6E"/>
    <w:rsid w:val="002D50F3"/>
    <w:rsid w:val="002D5132"/>
    <w:rsid w:val="002D5372"/>
    <w:rsid w:val="002D5551"/>
    <w:rsid w:val="002D5B34"/>
    <w:rsid w:val="002D793D"/>
    <w:rsid w:val="002E065E"/>
    <w:rsid w:val="002E0BC6"/>
    <w:rsid w:val="002E12B3"/>
    <w:rsid w:val="002E1F75"/>
    <w:rsid w:val="002E208D"/>
    <w:rsid w:val="002E3832"/>
    <w:rsid w:val="002E40E0"/>
    <w:rsid w:val="002E4162"/>
    <w:rsid w:val="002E4335"/>
    <w:rsid w:val="002E471D"/>
    <w:rsid w:val="002E6659"/>
    <w:rsid w:val="002E6847"/>
    <w:rsid w:val="002E6B03"/>
    <w:rsid w:val="002E6F0A"/>
    <w:rsid w:val="002E6F40"/>
    <w:rsid w:val="002E6F54"/>
    <w:rsid w:val="002E7DA1"/>
    <w:rsid w:val="002E7F8E"/>
    <w:rsid w:val="002F584B"/>
    <w:rsid w:val="002F6391"/>
    <w:rsid w:val="002F6FEE"/>
    <w:rsid w:val="002F7140"/>
    <w:rsid w:val="002F7241"/>
    <w:rsid w:val="002F7991"/>
    <w:rsid w:val="002F7D69"/>
    <w:rsid w:val="00300186"/>
    <w:rsid w:val="00300A65"/>
    <w:rsid w:val="00301188"/>
    <w:rsid w:val="003021EB"/>
    <w:rsid w:val="0030240E"/>
    <w:rsid w:val="00302E0F"/>
    <w:rsid w:val="003030C2"/>
    <w:rsid w:val="00303760"/>
    <w:rsid w:val="003039E7"/>
    <w:rsid w:val="00304356"/>
    <w:rsid w:val="003057E7"/>
    <w:rsid w:val="00305833"/>
    <w:rsid w:val="00305A00"/>
    <w:rsid w:val="00306282"/>
    <w:rsid w:val="0030633C"/>
    <w:rsid w:val="00307701"/>
    <w:rsid w:val="00307737"/>
    <w:rsid w:val="00310776"/>
    <w:rsid w:val="003113AA"/>
    <w:rsid w:val="00312088"/>
    <w:rsid w:val="003123C0"/>
    <w:rsid w:val="003127FF"/>
    <w:rsid w:val="003142E5"/>
    <w:rsid w:val="00316951"/>
    <w:rsid w:val="003203D2"/>
    <w:rsid w:val="00320F4C"/>
    <w:rsid w:val="00322719"/>
    <w:rsid w:val="003227E1"/>
    <w:rsid w:val="0032314E"/>
    <w:rsid w:val="0032368B"/>
    <w:rsid w:val="00323988"/>
    <w:rsid w:val="00323ACD"/>
    <w:rsid w:val="00325062"/>
    <w:rsid w:val="0032738F"/>
    <w:rsid w:val="003276EA"/>
    <w:rsid w:val="003305B8"/>
    <w:rsid w:val="00332419"/>
    <w:rsid w:val="00333DFA"/>
    <w:rsid w:val="00333EE6"/>
    <w:rsid w:val="00333F1E"/>
    <w:rsid w:val="00334017"/>
    <w:rsid w:val="003340FE"/>
    <w:rsid w:val="003342FF"/>
    <w:rsid w:val="00334CA6"/>
    <w:rsid w:val="00334E9B"/>
    <w:rsid w:val="00335C22"/>
    <w:rsid w:val="003365AD"/>
    <w:rsid w:val="0033738A"/>
    <w:rsid w:val="00340F84"/>
    <w:rsid w:val="00341045"/>
    <w:rsid w:val="003412AD"/>
    <w:rsid w:val="003412E7"/>
    <w:rsid w:val="00343010"/>
    <w:rsid w:val="00343608"/>
    <w:rsid w:val="00344DAD"/>
    <w:rsid w:val="0034586B"/>
    <w:rsid w:val="00346180"/>
    <w:rsid w:val="0034649D"/>
    <w:rsid w:val="00346C47"/>
    <w:rsid w:val="00347CFC"/>
    <w:rsid w:val="00347E98"/>
    <w:rsid w:val="003508CD"/>
    <w:rsid w:val="00350D55"/>
    <w:rsid w:val="00351D25"/>
    <w:rsid w:val="00353547"/>
    <w:rsid w:val="00353DD3"/>
    <w:rsid w:val="00353E59"/>
    <w:rsid w:val="00355D01"/>
    <w:rsid w:val="00356260"/>
    <w:rsid w:val="00356D5D"/>
    <w:rsid w:val="00356E02"/>
    <w:rsid w:val="00356F75"/>
    <w:rsid w:val="00357C7F"/>
    <w:rsid w:val="00360290"/>
    <w:rsid w:val="00360CA1"/>
    <w:rsid w:val="00361420"/>
    <w:rsid w:val="0036371D"/>
    <w:rsid w:val="003646AA"/>
    <w:rsid w:val="0036519D"/>
    <w:rsid w:val="003653B8"/>
    <w:rsid w:val="00365C90"/>
    <w:rsid w:val="00366643"/>
    <w:rsid w:val="00366C38"/>
    <w:rsid w:val="003671D8"/>
    <w:rsid w:val="00370A7E"/>
    <w:rsid w:val="003715B0"/>
    <w:rsid w:val="00372105"/>
    <w:rsid w:val="00373A2E"/>
    <w:rsid w:val="00373BBC"/>
    <w:rsid w:val="00374A0A"/>
    <w:rsid w:val="00374CC2"/>
    <w:rsid w:val="00374DF1"/>
    <w:rsid w:val="003751BB"/>
    <w:rsid w:val="00375241"/>
    <w:rsid w:val="003766A3"/>
    <w:rsid w:val="00376E98"/>
    <w:rsid w:val="00377D76"/>
    <w:rsid w:val="00380011"/>
    <w:rsid w:val="0038079F"/>
    <w:rsid w:val="00381504"/>
    <w:rsid w:val="00381E0F"/>
    <w:rsid w:val="003831C9"/>
    <w:rsid w:val="003834AE"/>
    <w:rsid w:val="003840C5"/>
    <w:rsid w:val="00384301"/>
    <w:rsid w:val="00385302"/>
    <w:rsid w:val="0038537E"/>
    <w:rsid w:val="00385588"/>
    <w:rsid w:val="00386E1D"/>
    <w:rsid w:val="00387680"/>
    <w:rsid w:val="00390C98"/>
    <w:rsid w:val="00392886"/>
    <w:rsid w:val="00392EA8"/>
    <w:rsid w:val="00393235"/>
    <w:rsid w:val="00394C4F"/>
    <w:rsid w:val="003956AF"/>
    <w:rsid w:val="00395AA0"/>
    <w:rsid w:val="00396270"/>
    <w:rsid w:val="00397001"/>
    <w:rsid w:val="003A0AD1"/>
    <w:rsid w:val="003A1006"/>
    <w:rsid w:val="003A42E2"/>
    <w:rsid w:val="003A48D4"/>
    <w:rsid w:val="003A4F9D"/>
    <w:rsid w:val="003A64E5"/>
    <w:rsid w:val="003A6BC3"/>
    <w:rsid w:val="003A6FA7"/>
    <w:rsid w:val="003B0373"/>
    <w:rsid w:val="003B0C24"/>
    <w:rsid w:val="003B21D8"/>
    <w:rsid w:val="003B25DB"/>
    <w:rsid w:val="003B2687"/>
    <w:rsid w:val="003B376F"/>
    <w:rsid w:val="003B4544"/>
    <w:rsid w:val="003B55D1"/>
    <w:rsid w:val="003B5ABB"/>
    <w:rsid w:val="003B6321"/>
    <w:rsid w:val="003B6B19"/>
    <w:rsid w:val="003C00A8"/>
    <w:rsid w:val="003C0237"/>
    <w:rsid w:val="003C10ED"/>
    <w:rsid w:val="003C1629"/>
    <w:rsid w:val="003C1651"/>
    <w:rsid w:val="003C2DAE"/>
    <w:rsid w:val="003C2FA5"/>
    <w:rsid w:val="003C3F5B"/>
    <w:rsid w:val="003C404E"/>
    <w:rsid w:val="003C4B0E"/>
    <w:rsid w:val="003C4FDF"/>
    <w:rsid w:val="003C4FF3"/>
    <w:rsid w:val="003C6725"/>
    <w:rsid w:val="003C7BB9"/>
    <w:rsid w:val="003D0C40"/>
    <w:rsid w:val="003D226D"/>
    <w:rsid w:val="003D2416"/>
    <w:rsid w:val="003D2E96"/>
    <w:rsid w:val="003D378F"/>
    <w:rsid w:val="003D4C72"/>
    <w:rsid w:val="003D6142"/>
    <w:rsid w:val="003D7ADE"/>
    <w:rsid w:val="003D7D8D"/>
    <w:rsid w:val="003E06DE"/>
    <w:rsid w:val="003E13F1"/>
    <w:rsid w:val="003E2C2B"/>
    <w:rsid w:val="003E58AC"/>
    <w:rsid w:val="003E6B45"/>
    <w:rsid w:val="003E75A4"/>
    <w:rsid w:val="003F0F42"/>
    <w:rsid w:val="003F175E"/>
    <w:rsid w:val="003F18FD"/>
    <w:rsid w:val="003F1F83"/>
    <w:rsid w:val="003F218B"/>
    <w:rsid w:val="003F28AA"/>
    <w:rsid w:val="003F2E54"/>
    <w:rsid w:val="003F3CB5"/>
    <w:rsid w:val="003F448C"/>
    <w:rsid w:val="003F48B9"/>
    <w:rsid w:val="003F55C6"/>
    <w:rsid w:val="003F748A"/>
    <w:rsid w:val="00400F9B"/>
    <w:rsid w:val="004013E1"/>
    <w:rsid w:val="004015C2"/>
    <w:rsid w:val="004016D9"/>
    <w:rsid w:val="00401D1A"/>
    <w:rsid w:val="004022E6"/>
    <w:rsid w:val="00402647"/>
    <w:rsid w:val="00402BE7"/>
    <w:rsid w:val="00402C46"/>
    <w:rsid w:val="00402E65"/>
    <w:rsid w:val="00403082"/>
    <w:rsid w:val="00403171"/>
    <w:rsid w:val="00403775"/>
    <w:rsid w:val="00403BA0"/>
    <w:rsid w:val="0040485D"/>
    <w:rsid w:val="004057E7"/>
    <w:rsid w:val="0040592B"/>
    <w:rsid w:val="00405B5E"/>
    <w:rsid w:val="0040611D"/>
    <w:rsid w:val="00406209"/>
    <w:rsid w:val="00406AF0"/>
    <w:rsid w:val="00407462"/>
    <w:rsid w:val="00407F56"/>
    <w:rsid w:val="004104CD"/>
    <w:rsid w:val="00410B26"/>
    <w:rsid w:val="00410D6B"/>
    <w:rsid w:val="00411212"/>
    <w:rsid w:val="0041166C"/>
    <w:rsid w:val="004129AA"/>
    <w:rsid w:val="00413151"/>
    <w:rsid w:val="00413310"/>
    <w:rsid w:val="00414B6C"/>
    <w:rsid w:val="00415105"/>
    <w:rsid w:val="00415BFC"/>
    <w:rsid w:val="0041610F"/>
    <w:rsid w:val="00416A93"/>
    <w:rsid w:val="00416CC2"/>
    <w:rsid w:val="004202B1"/>
    <w:rsid w:val="00420682"/>
    <w:rsid w:val="00420E53"/>
    <w:rsid w:val="0042116F"/>
    <w:rsid w:val="00421A2D"/>
    <w:rsid w:val="00421D6E"/>
    <w:rsid w:val="00422D85"/>
    <w:rsid w:val="00423C74"/>
    <w:rsid w:val="00423D3A"/>
    <w:rsid w:val="00424181"/>
    <w:rsid w:val="00424FF7"/>
    <w:rsid w:val="00425235"/>
    <w:rsid w:val="00426BAB"/>
    <w:rsid w:val="004274B8"/>
    <w:rsid w:val="004277BE"/>
    <w:rsid w:val="0042795E"/>
    <w:rsid w:val="00431C07"/>
    <w:rsid w:val="0043208D"/>
    <w:rsid w:val="004329BF"/>
    <w:rsid w:val="0043301A"/>
    <w:rsid w:val="00433173"/>
    <w:rsid w:val="0043357E"/>
    <w:rsid w:val="004340D4"/>
    <w:rsid w:val="00434B95"/>
    <w:rsid w:val="00434DF8"/>
    <w:rsid w:val="00435C56"/>
    <w:rsid w:val="0043641E"/>
    <w:rsid w:val="00436A33"/>
    <w:rsid w:val="00436DD5"/>
    <w:rsid w:val="00437B4B"/>
    <w:rsid w:val="004402D5"/>
    <w:rsid w:val="00440E79"/>
    <w:rsid w:val="00441232"/>
    <w:rsid w:val="00442DE0"/>
    <w:rsid w:val="0044310A"/>
    <w:rsid w:val="00443201"/>
    <w:rsid w:val="00444273"/>
    <w:rsid w:val="00444797"/>
    <w:rsid w:val="004448EF"/>
    <w:rsid w:val="00444A89"/>
    <w:rsid w:val="00444F0F"/>
    <w:rsid w:val="00446177"/>
    <w:rsid w:val="00446D6E"/>
    <w:rsid w:val="00447188"/>
    <w:rsid w:val="00447ADF"/>
    <w:rsid w:val="004510C0"/>
    <w:rsid w:val="00452792"/>
    <w:rsid w:val="00452DEC"/>
    <w:rsid w:val="00453130"/>
    <w:rsid w:val="00453867"/>
    <w:rsid w:val="00453906"/>
    <w:rsid w:val="00455130"/>
    <w:rsid w:val="00455220"/>
    <w:rsid w:val="00455E57"/>
    <w:rsid w:val="00456B0F"/>
    <w:rsid w:val="00457BC0"/>
    <w:rsid w:val="00457F0F"/>
    <w:rsid w:val="00457F5B"/>
    <w:rsid w:val="00460417"/>
    <w:rsid w:val="00461237"/>
    <w:rsid w:val="0046259F"/>
    <w:rsid w:val="0046398A"/>
    <w:rsid w:val="0046424B"/>
    <w:rsid w:val="00464C38"/>
    <w:rsid w:val="004655D4"/>
    <w:rsid w:val="00465804"/>
    <w:rsid w:val="00465BE2"/>
    <w:rsid w:val="004666CA"/>
    <w:rsid w:val="0046701E"/>
    <w:rsid w:val="004676DE"/>
    <w:rsid w:val="004709C9"/>
    <w:rsid w:val="00470DA2"/>
    <w:rsid w:val="0047100E"/>
    <w:rsid w:val="00471EA9"/>
    <w:rsid w:val="0047379F"/>
    <w:rsid w:val="00473A18"/>
    <w:rsid w:val="00473D94"/>
    <w:rsid w:val="00473DE6"/>
    <w:rsid w:val="00473EC2"/>
    <w:rsid w:val="00474077"/>
    <w:rsid w:val="0047436B"/>
    <w:rsid w:val="00475FC2"/>
    <w:rsid w:val="0047621D"/>
    <w:rsid w:val="0047625E"/>
    <w:rsid w:val="004800AD"/>
    <w:rsid w:val="00480320"/>
    <w:rsid w:val="00481CC7"/>
    <w:rsid w:val="00481EEF"/>
    <w:rsid w:val="004820DC"/>
    <w:rsid w:val="0048269F"/>
    <w:rsid w:val="004829A1"/>
    <w:rsid w:val="004838C8"/>
    <w:rsid w:val="00484247"/>
    <w:rsid w:val="00484C5A"/>
    <w:rsid w:val="004855C3"/>
    <w:rsid w:val="00486AE7"/>
    <w:rsid w:val="00486BF3"/>
    <w:rsid w:val="00486EE3"/>
    <w:rsid w:val="00487342"/>
    <w:rsid w:val="00490533"/>
    <w:rsid w:val="004905AA"/>
    <w:rsid w:val="004905EB"/>
    <w:rsid w:val="00491204"/>
    <w:rsid w:val="004915B8"/>
    <w:rsid w:val="004916C8"/>
    <w:rsid w:val="00492F53"/>
    <w:rsid w:val="00493157"/>
    <w:rsid w:val="004941A7"/>
    <w:rsid w:val="00495CEE"/>
    <w:rsid w:val="00496FB5"/>
    <w:rsid w:val="00496FDE"/>
    <w:rsid w:val="00497BF3"/>
    <w:rsid w:val="00497D12"/>
    <w:rsid w:val="00497F72"/>
    <w:rsid w:val="004A06E5"/>
    <w:rsid w:val="004A0A26"/>
    <w:rsid w:val="004A0E13"/>
    <w:rsid w:val="004A1034"/>
    <w:rsid w:val="004A10DB"/>
    <w:rsid w:val="004A18A5"/>
    <w:rsid w:val="004A40CB"/>
    <w:rsid w:val="004A5418"/>
    <w:rsid w:val="004A6F75"/>
    <w:rsid w:val="004A7055"/>
    <w:rsid w:val="004A7E78"/>
    <w:rsid w:val="004A7FDA"/>
    <w:rsid w:val="004B14E4"/>
    <w:rsid w:val="004B2B4A"/>
    <w:rsid w:val="004B3DFD"/>
    <w:rsid w:val="004B5658"/>
    <w:rsid w:val="004B571D"/>
    <w:rsid w:val="004B597D"/>
    <w:rsid w:val="004B604A"/>
    <w:rsid w:val="004B7672"/>
    <w:rsid w:val="004B78E9"/>
    <w:rsid w:val="004B7993"/>
    <w:rsid w:val="004C014D"/>
    <w:rsid w:val="004C0FBF"/>
    <w:rsid w:val="004C10C3"/>
    <w:rsid w:val="004C10D5"/>
    <w:rsid w:val="004C1AAC"/>
    <w:rsid w:val="004C1F7A"/>
    <w:rsid w:val="004C4349"/>
    <w:rsid w:val="004C48DC"/>
    <w:rsid w:val="004C4F4B"/>
    <w:rsid w:val="004C544D"/>
    <w:rsid w:val="004C726C"/>
    <w:rsid w:val="004C7C61"/>
    <w:rsid w:val="004D1744"/>
    <w:rsid w:val="004D1B79"/>
    <w:rsid w:val="004D3488"/>
    <w:rsid w:val="004D373A"/>
    <w:rsid w:val="004D37A7"/>
    <w:rsid w:val="004D5207"/>
    <w:rsid w:val="004D5ED3"/>
    <w:rsid w:val="004D6927"/>
    <w:rsid w:val="004D6E3F"/>
    <w:rsid w:val="004D70D3"/>
    <w:rsid w:val="004E0BCF"/>
    <w:rsid w:val="004E1528"/>
    <w:rsid w:val="004E3B47"/>
    <w:rsid w:val="004E3B4E"/>
    <w:rsid w:val="004E4891"/>
    <w:rsid w:val="004E49A4"/>
    <w:rsid w:val="004E4AB5"/>
    <w:rsid w:val="004E4D27"/>
    <w:rsid w:val="004E5CCC"/>
    <w:rsid w:val="004E76EA"/>
    <w:rsid w:val="004F05AB"/>
    <w:rsid w:val="004F0A63"/>
    <w:rsid w:val="004F0BA2"/>
    <w:rsid w:val="004F0F8C"/>
    <w:rsid w:val="004F19E8"/>
    <w:rsid w:val="004F1A82"/>
    <w:rsid w:val="004F2C28"/>
    <w:rsid w:val="004F3974"/>
    <w:rsid w:val="004F4411"/>
    <w:rsid w:val="004F4ABC"/>
    <w:rsid w:val="004F54B3"/>
    <w:rsid w:val="004F6108"/>
    <w:rsid w:val="004F6C50"/>
    <w:rsid w:val="004F7575"/>
    <w:rsid w:val="004F77D9"/>
    <w:rsid w:val="004F79B4"/>
    <w:rsid w:val="004F7DC6"/>
    <w:rsid w:val="0050097E"/>
    <w:rsid w:val="00500ABD"/>
    <w:rsid w:val="00500FE3"/>
    <w:rsid w:val="0050151A"/>
    <w:rsid w:val="00501A25"/>
    <w:rsid w:val="00501B9A"/>
    <w:rsid w:val="0050243D"/>
    <w:rsid w:val="0050278E"/>
    <w:rsid w:val="0050329F"/>
    <w:rsid w:val="00503F72"/>
    <w:rsid w:val="00504A04"/>
    <w:rsid w:val="00504F4D"/>
    <w:rsid w:val="005054D7"/>
    <w:rsid w:val="0050571F"/>
    <w:rsid w:val="00505A9F"/>
    <w:rsid w:val="00506392"/>
    <w:rsid w:val="005063FA"/>
    <w:rsid w:val="005064B9"/>
    <w:rsid w:val="00506AE0"/>
    <w:rsid w:val="00510DAA"/>
    <w:rsid w:val="00511727"/>
    <w:rsid w:val="005118E2"/>
    <w:rsid w:val="0051195B"/>
    <w:rsid w:val="00513006"/>
    <w:rsid w:val="00513864"/>
    <w:rsid w:val="00514CF6"/>
    <w:rsid w:val="0051597B"/>
    <w:rsid w:val="00515B3A"/>
    <w:rsid w:val="005177D5"/>
    <w:rsid w:val="00517ABD"/>
    <w:rsid w:val="0052005A"/>
    <w:rsid w:val="0052049B"/>
    <w:rsid w:val="0052066B"/>
    <w:rsid w:val="00520BF7"/>
    <w:rsid w:val="00520C61"/>
    <w:rsid w:val="00521058"/>
    <w:rsid w:val="00521909"/>
    <w:rsid w:val="00521A59"/>
    <w:rsid w:val="00521B48"/>
    <w:rsid w:val="00522E67"/>
    <w:rsid w:val="00523010"/>
    <w:rsid w:val="0052366B"/>
    <w:rsid w:val="00523AF2"/>
    <w:rsid w:val="00523CA6"/>
    <w:rsid w:val="005247E6"/>
    <w:rsid w:val="005249AC"/>
    <w:rsid w:val="00524DE2"/>
    <w:rsid w:val="00525055"/>
    <w:rsid w:val="00525987"/>
    <w:rsid w:val="005259D1"/>
    <w:rsid w:val="005308E3"/>
    <w:rsid w:val="005308F3"/>
    <w:rsid w:val="005310DA"/>
    <w:rsid w:val="005319CB"/>
    <w:rsid w:val="00531F03"/>
    <w:rsid w:val="00532FC5"/>
    <w:rsid w:val="00534CE5"/>
    <w:rsid w:val="00534D4F"/>
    <w:rsid w:val="00535451"/>
    <w:rsid w:val="00536E95"/>
    <w:rsid w:val="005372FE"/>
    <w:rsid w:val="00537E92"/>
    <w:rsid w:val="00543A63"/>
    <w:rsid w:val="00544A23"/>
    <w:rsid w:val="00544BF5"/>
    <w:rsid w:val="00544CE2"/>
    <w:rsid w:val="00545ED6"/>
    <w:rsid w:val="00546A44"/>
    <w:rsid w:val="00547C15"/>
    <w:rsid w:val="00550DC7"/>
    <w:rsid w:val="00552189"/>
    <w:rsid w:val="005532DE"/>
    <w:rsid w:val="005556EE"/>
    <w:rsid w:val="005558E7"/>
    <w:rsid w:val="005559A7"/>
    <w:rsid w:val="00555EFA"/>
    <w:rsid w:val="005561AC"/>
    <w:rsid w:val="005567BA"/>
    <w:rsid w:val="00556DDC"/>
    <w:rsid w:val="00556E1F"/>
    <w:rsid w:val="00560EFF"/>
    <w:rsid w:val="00560FB9"/>
    <w:rsid w:val="0056135A"/>
    <w:rsid w:val="00562E4D"/>
    <w:rsid w:val="005631DE"/>
    <w:rsid w:val="00563B25"/>
    <w:rsid w:val="00564593"/>
    <w:rsid w:val="00566105"/>
    <w:rsid w:val="00566617"/>
    <w:rsid w:val="00566A4E"/>
    <w:rsid w:val="00566DFE"/>
    <w:rsid w:val="0057061E"/>
    <w:rsid w:val="00570BF3"/>
    <w:rsid w:val="00571FF3"/>
    <w:rsid w:val="005734BF"/>
    <w:rsid w:val="0057393B"/>
    <w:rsid w:val="00573A12"/>
    <w:rsid w:val="00573F3B"/>
    <w:rsid w:val="005746B7"/>
    <w:rsid w:val="00575A0B"/>
    <w:rsid w:val="00575D4C"/>
    <w:rsid w:val="005761E3"/>
    <w:rsid w:val="00580FDD"/>
    <w:rsid w:val="00581DA7"/>
    <w:rsid w:val="00582F79"/>
    <w:rsid w:val="00583534"/>
    <w:rsid w:val="00584198"/>
    <w:rsid w:val="0058469B"/>
    <w:rsid w:val="0058511A"/>
    <w:rsid w:val="00585DA5"/>
    <w:rsid w:val="0058641F"/>
    <w:rsid w:val="005877D0"/>
    <w:rsid w:val="00590631"/>
    <w:rsid w:val="00591291"/>
    <w:rsid w:val="00591A87"/>
    <w:rsid w:val="00591F0F"/>
    <w:rsid w:val="00592798"/>
    <w:rsid w:val="005928B9"/>
    <w:rsid w:val="005928D4"/>
    <w:rsid w:val="00592B9B"/>
    <w:rsid w:val="00592CDA"/>
    <w:rsid w:val="005936E9"/>
    <w:rsid w:val="00593719"/>
    <w:rsid w:val="00593816"/>
    <w:rsid w:val="005949A0"/>
    <w:rsid w:val="0059542C"/>
    <w:rsid w:val="00595877"/>
    <w:rsid w:val="00595C78"/>
    <w:rsid w:val="005964DD"/>
    <w:rsid w:val="00596A6D"/>
    <w:rsid w:val="005976D1"/>
    <w:rsid w:val="005A1BF2"/>
    <w:rsid w:val="005A31CF"/>
    <w:rsid w:val="005A3CEF"/>
    <w:rsid w:val="005A42D8"/>
    <w:rsid w:val="005A7833"/>
    <w:rsid w:val="005B177C"/>
    <w:rsid w:val="005B1FA4"/>
    <w:rsid w:val="005B3972"/>
    <w:rsid w:val="005B3BA5"/>
    <w:rsid w:val="005B4208"/>
    <w:rsid w:val="005B565C"/>
    <w:rsid w:val="005B5B50"/>
    <w:rsid w:val="005B6A28"/>
    <w:rsid w:val="005B7686"/>
    <w:rsid w:val="005B7C74"/>
    <w:rsid w:val="005C0228"/>
    <w:rsid w:val="005C06C6"/>
    <w:rsid w:val="005C0822"/>
    <w:rsid w:val="005C2A48"/>
    <w:rsid w:val="005C3686"/>
    <w:rsid w:val="005C37E5"/>
    <w:rsid w:val="005C53F2"/>
    <w:rsid w:val="005C5F58"/>
    <w:rsid w:val="005C6184"/>
    <w:rsid w:val="005C67E4"/>
    <w:rsid w:val="005C7572"/>
    <w:rsid w:val="005C7DC7"/>
    <w:rsid w:val="005D049C"/>
    <w:rsid w:val="005D0922"/>
    <w:rsid w:val="005D0ADB"/>
    <w:rsid w:val="005D173E"/>
    <w:rsid w:val="005D2E03"/>
    <w:rsid w:val="005D326F"/>
    <w:rsid w:val="005D3383"/>
    <w:rsid w:val="005D3AB1"/>
    <w:rsid w:val="005D5F96"/>
    <w:rsid w:val="005D78EB"/>
    <w:rsid w:val="005E0085"/>
    <w:rsid w:val="005E0926"/>
    <w:rsid w:val="005E1060"/>
    <w:rsid w:val="005E1829"/>
    <w:rsid w:val="005E2381"/>
    <w:rsid w:val="005E315A"/>
    <w:rsid w:val="005E34A8"/>
    <w:rsid w:val="005E469F"/>
    <w:rsid w:val="005E52BB"/>
    <w:rsid w:val="005E6500"/>
    <w:rsid w:val="005E6558"/>
    <w:rsid w:val="005E7A53"/>
    <w:rsid w:val="005F0ED6"/>
    <w:rsid w:val="005F1FC2"/>
    <w:rsid w:val="005F2BE2"/>
    <w:rsid w:val="005F47F9"/>
    <w:rsid w:val="005F5057"/>
    <w:rsid w:val="005F55F9"/>
    <w:rsid w:val="005F56A9"/>
    <w:rsid w:val="00600DBA"/>
    <w:rsid w:val="00600F0D"/>
    <w:rsid w:val="0060117C"/>
    <w:rsid w:val="00602291"/>
    <w:rsid w:val="00602739"/>
    <w:rsid w:val="00603D59"/>
    <w:rsid w:val="006042DF"/>
    <w:rsid w:val="00604886"/>
    <w:rsid w:val="00605121"/>
    <w:rsid w:val="00605D5D"/>
    <w:rsid w:val="006072F1"/>
    <w:rsid w:val="006100CD"/>
    <w:rsid w:val="00610311"/>
    <w:rsid w:val="00610539"/>
    <w:rsid w:val="006109A6"/>
    <w:rsid w:val="00612230"/>
    <w:rsid w:val="006123F3"/>
    <w:rsid w:val="00612588"/>
    <w:rsid w:val="006125E2"/>
    <w:rsid w:val="006131A7"/>
    <w:rsid w:val="00617332"/>
    <w:rsid w:val="00617943"/>
    <w:rsid w:val="00617F9D"/>
    <w:rsid w:val="006213C3"/>
    <w:rsid w:val="00622217"/>
    <w:rsid w:val="00622CAA"/>
    <w:rsid w:val="00623021"/>
    <w:rsid w:val="00623F7E"/>
    <w:rsid w:val="00624504"/>
    <w:rsid w:val="006252E3"/>
    <w:rsid w:val="0062547A"/>
    <w:rsid w:val="00625B9C"/>
    <w:rsid w:val="0062637D"/>
    <w:rsid w:val="006268EB"/>
    <w:rsid w:val="00626C53"/>
    <w:rsid w:val="006271EA"/>
    <w:rsid w:val="00631145"/>
    <w:rsid w:val="00631ACA"/>
    <w:rsid w:val="00632293"/>
    <w:rsid w:val="00632EB4"/>
    <w:rsid w:val="00632FA1"/>
    <w:rsid w:val="00634535"/>
    <w:rsid w:val="00635A88"/>
    <w:rsid w:val="00635D84"/>
    <w:rsid w:val="00636E8E"/>
    <w:rsid w:val="00636EE2"/>
    <w:rsid w:val="0063766D"/>
    <w:rsid w:val="00641133"/>
    <w:rsid w:val="0064128E"/>
    <w:rsid w:val="00641ED2"/>
    <w:rsid w:val="006426E2"/>
    <w:rsid w:val="006432DD"/>
    <w:rsid w:val="006440A6"/>
    <w:rsid w:val="00644151"/>
    <w:rsid w:val="00644CC2"/>
    <w:rsid w:val="006450FA"/>
    <w:rsid w:val="00645D5A"/>
    <w:rsid w:val="00646684"/>
    <w:rsid w:val="00647172"/>
    <w:rsid w:val="006472CA"/>
    <w:rsid w:val="00647A25"/>
    <w:rsid w:val="00647B4E"/>
    <w:rsid w:val="0065179C"/>
    <w:rsid w:val="006536BF"/>
    <w:rsid w:val="006538BD"/>
    <w:rsid w:val="00653A28"/>
    <w:rsid w:val="00654A27"/>
    <w:rsid w:val="00655BED"/>
    <w:rsid w:val="00656CC0"/>
    <w:rsid w:val="00657A3A"/>
    <w:rsid w:val="00657CC9"/>
    <w:rsid w:val="00661797"/>
    <w:rsid w:val="006622AE"/>
    <w:rsid w:val="006626E5"/>
    <w:rsid w:val="00662E39"/>
    <w:rsid w:val="00663A35"/>
    <w:rsid w:val="006642CC"/>
    <w:rsid w:val="0066454B"/>
    <w:rsid w:val="00664753"/>
    <w:rsid w:val="0066493A"/>
    <w:rsid w:val="00665A7A"/>
    <w:rsid w:val="006660F1"/>
    <w:rsid w:val="00667DE2"/>
    <w:rsid w:val="006711E7"/>
    <w:rsid w:val="0067162B"/>
    <w:rsid w:val="006719A9"/>
    <w:rsid w:val="00672492"/>
    <w:rsid w:val="00672A1D"/>
    <w:rsid w:val="00672AF8"/>
    <w:rsid w:val="0067575F"/>
    <w:rsid w:val="00675C0E"/>
    <w:rsid w:val="006776B8"/>
    <w:rsid w:val="00680910"/>
    <w:rsid w:val="006823AE"/>
    <w:rsid w:val="0068451E"/>
    <w:rsid w:val="00684BEB"/>
    <w:rsid w:val="00685A59"/>
    <w:rsid w:val="00685CB6"/>
    <w:rsid w:val="00687C70"/>
    <w:rsid w:val="00687EEE"/>
    <w:rsid w:val="00690E8E"/>
    <w:rsid w:val="006914F4"/>
    <w:rsid w:val="00691B90"/>
    <w:rsid w:val="00692486"/>
    <w:rsid w:val="00692DE7"/>
    <w:rsid w:val="00693236"/>
    <w:rsid w:val="00693C32"/>
    <w:rsid w:val="00694D41"/>
    <w:rsid w:val="00694EEC"/>
    <w:rsid w:val="0069503F"/>
    <w:rsid w:val="00695B9E"/>
    <w:rsid w:val="00695E73"/>
    <w:rsid w:val="006A2250"/>
    <w:rsid w:val="006A2377"/>
    <w:rsid w:val="006A30D9"/>
    <w:rsid w:val="006A5496"/>
    <w:rsid w:val="006A5672"/>
    <w:rsid w:val="006A5812"/>
    <w:rsid w:val="006A5909"/>
    <w:rsid w:val="006A66B5"/>
    <w:rsid w:val="006A7CC8"/>
    <w:rsid w:val="006B22C7"/>
    <w:rsid w:val="006B2543"/>
    <w:rsid w:val="006B36FA"/>
    <w:rsid w:val="006B3B18"/>
    <w:rsid w:val="006B5CD0"/>
    <w:rsid w:val="006B6483"/>
    <w:rsid w:val="006B66F9"/>
    <w:rsid w:val="006B674C"/>
    <w:rsid w:val="006B6CEC"/>
    <w:rsid w:val="006C0178"/>
    <w:rsid w:val="006C02E8"/>
    <w:rsid w:val="006C0DB9"/>
    <w:rsid w:val="006C0E6D"/>
    <w:rsid w:val="006C12A4"/>
    <w:rsid w:val="006C12C7"/>
    <w:rsid w:val="006C21C9"/>
    <w:rsid w:val="006C28A5"/>
    <w:rsid w:val="006C33EC"/>
    <w:rsid w:val="006C4901"/>
    <w:rsid w:val="006C49CD"/>
    <w:rsid w:val="006C4B01"/>
    <w:rsid w:val="006C50CD"/>
    <w:rsid w:val="006C5CF1"/>
    <w:rsid w:val="006C7175"/>
    <w:rsid w:val="006C720C"/>
    <w:rsid w:val="006C7E93"/>
    <w:rsid w:val="006D09F5"/>
    <w:rsid w:val="006D2520"/>
    <w:rsid w:val="006D25A0"/>
    <w:rsid w:val="006D30D3"/>
    <w:rsid w:val="006D35DA"/>
    <w:rsid w:val="006D3DCC"/>
    <w:rsid w:val="006D4411"/>
    <w:rsid w:val="006D46C2"/>
    <w:rsid w:val="006D4800"/>
    <w:rsid w:val="006E017D"/>
    <w:rsid w:val="006E032C"/>
    <w:rsid w:val="006E0FBF"/>
    <w:rsid w:val="006E1852"/>
    <w:rsid w:val="006E1A92"/>
    <w:rsid w:val="006E1BC8"/>
    <w:rsid w:val="006E1D82"/>
    <w:rsid w:val="006E1FE5"/>
    <w:rsid w:val="006E2ACA"/>
    <w:rsid w:val="006E437F"/>
    <w:rsid w:val="006E471D"/>
    <w:rsid w:val="006E49E7"/>
    <w:rsid w:val="006E510F"/>
    <w:rsid w:val="006E60AF"/>
    <w:rsid w:val="006E6613"/>
    <w:rsid w:val="006E71F9"/>
    <w:rsid w:val="006F0981"/>
    <w:rsid w:val="006F0A22"/>
    <w:rsid w:val="006F1DF5"/>
    <w:rsid w:val="006F2436"/>
    <w:rsid w:val="006F25D9"/>
    <w:rsid w:val="006F28E7"/>
    <w:rsid w:val="006F3FFF"/>
    <w:rsid w:val="006F42F2"/>
    <w:rsid w:val="006F469A"/>
    <w:rsid w:val="006F4C84"/>
    <w:rsid w:val="006F51F7"/>
    <w:rsid w:val="006F7BED"/>
    <w:rsid w:val="00700491"/>
    <w:rsid w:val="00700777"/>
    <w:rsid w:val="00700A4C"/>
    <w:rsid w:val="00700BE7"/>
    <w:rsid w:val="00703C8F"/>
    <w:rsid w:val="00703FB1"/>
    <w:rsid w:val="007056FD"/>
    <w:rsid w:val="00705EC8"/>
    <w:rsid w:val="00707268"/>
    <w:rsid w:val="0070747D"/>
    <w:rsid w:val="00710D38"/>
    <w:rsid w:val="00710F5A"/>
    <w:rsid w:val="00713036"/>
    <w:rsid w:val="00715978"/>
    <w:rsid w:val="00715C57"/>
    <w:rsid w:val="007176A3"/>
    <w:rsid w:val="0071779E"/>
    <w:rsid w:val="0072221E"/>
    <w:rsid w:val="007227B1"/>
    <w:rsid w:val="00723D1D"/>
    <w:rsid w:val="007243F6"/>
    <w:rsid w:val="007251AB"/>
    <w:rsid w:val="007254B7"/>
    <w:rsid w:val="00725B70"/>
    <w:rsid w:val="00725D52"/>
    <w:rsid w:val="007268B1"/>
    <w:rsid w:val="00727C58"/>
    <w:rsid w:val="00730186"/>
    <w:rsid w:val="0073168B"/>
    <w:rsid w:val="007347C5"/>
    <w:rsid w:val="0073599C"/>
    <w:rsid w:val="00735B5D"/>
    <w:rsid w:val="00736414"/>
    <w:rsid w:val="00740CC4"/>
    <w:rsid w:val="007414ED"/>
    <w:rsid w:val="00742B6B"/>
    <w:rsid w:val="00742B87"/>
    <w:rsid w:val="00743EE7"/>
    <w:rsid w:val="0074470C"/>
    <w:rsid w:val="00744823"/>
    <w:rsid w:val="007449E4"/>
    <w:rsid w:val="007452CF"/>
    <w:rsid w:val="00745343"/>
    <w:rsid w:val="00745541"/>
    <w:rsid w:val="00745E4A"/>
    <w:rsid w:val="007501B2"/>
    <w:rsid w:val="00750D2D"/>
    <w:rsid w:val="007514CB"/>
    <w:rsid w:val="00752599"/>
    <w:rsid w:val="00752935"/>
    <w:rsid w:val="00753697"/>
    <w:rsid w:val="007554CF"/>
    <w:rsid w:val="0075608B"/>
    <w:rsid w:val="00756B97"/>
    <w:rsid w:val="007574FE"/>
    <w:rsid w:val="00757DA1"/>
    <w:rsid w:val="007608BE"/>
    <w:rsid w:val="0076168C"/>
    <w:rsid w:val="007625A7"/>
    <w:rsid w:val="00762C5B"/>
    <w:rsid w:val="007647EC"/>
    <w:rsid w:val="007663F8"/>
    <w:rsid w:val="00770487"/>
    <w:rsid w:val="0077060F"/>
    <w:rsid w:val="00771333"/>
    <w:rsid w:val="00772D7C"/>
    <w:rsid w:val="00774549"/>
    <w:rsid w:val="007749A7"/>
    <w:rsid w:val="007754BA"/>
    <w:rsid w:val="0077735B"/>
    <w:rsid w:val="0078161E"/>
    <w:rsid w:val="007818DB"/>
    <w:rsid w:val="007822E5"/>
    <w:rsid w:val="00782489"/>
    <w:rsid w:val="007829C4"/>
    <w:rsid w:val="00782A2E"/>
    <w:rsid w:val="007835BF"/>
    <w:rsid w:val="007838CE"/>
    <w:rsid w:val="00783BBD"/>
    <w:rsid w:val="00785254"/>
    <w:rsid w:val="00785C4D"/>
    <w:rsid w:val="00785EF1"/>
    <w:rsid w:val="0078626E"/>
    <w:rsid w:val="00791075"/>
    <w:rsid w:val="00791F37"/>
    <w:rsid w:val="007922D4"/>
    <w:rsid w:val="0079467E"/>
    <w:rsid w:val="00794B4D"/>
    <w:rsid w:val="00795262"/>
    <w:rsid w:val="0079628B"/>
    <w:rsid w:val="007962CF"/>
    <w:rsid w:val="007A0372"/>
    <w:rsid w:val="007A0922"/>
    <w:rsid w:val="007A1313"/>
    <w:rsid w:val="007A1BA6"/>
    <w:rsid w:val="007A2CC5"/>
    <w:rsid w:val="007A469F"/>
    <w:rsid w:val="007A4A37"/>
    <w:rsid w:val="007A606D"/>
    <w:rsid w:val="007A6AA0"/>
    <w:rsid w:val="007A707B"/>
    <w:rsid w:val="007A7C33"/>
    <w:rsid w:val="007B0146"/>
    <w:rsid w:val="007B0BA0"/>
    <w:rsid w:val="007B1F17"/>
    <w:rsid w:val="007B2212"/>
    <w:rsid w:val="007B3520"/>
    <w:rsid w:val="007B397A"/>
    <w:rsid w:val="007B3B10"/>
    <w:rsid w:val="007B3BB7"/>
    <w:rsid w:val="007B448D"/>
    <w:rsid w:val="007B4C09"/>
    <w:rsid w:val="007B4D04"/>
    <w:rsid w:val="007B5572"/>
    <w:rsid w:val="007B6729"/>
    <w:rsid w:val="007B71B0"/>
    <w:rsid w:val="007B7F8A"/>
    <w:rsid w:val="007C12AC"/>
    <w:rsid w:val="007C1CB3"/>
    <w:rsid w:val="007C2585"/>
    <w:rsid w:val="007C32D0"/>
    <w:rsid w:val="007C3A2C"/>
    <w:rsid w:val="007C4A45"/>
    <w:rsid w:val="007C6823"/>
    <w:rsid w:val="007C76E9"/>
    <w:rsid w:val="007C7782"/>
    <w:rsid w:val="007D1804"/>
    <w:rsid w:val="007D21C3"/>
    <w:rsid w:val="007D2BFF"/>
    <w:rsid w:val="007D2CE8"/>
    <w:rsid w:val="007D3057"/>
    <w:rsid w:val="007D37CD"/>
    <w:rsid w:val="007D3987"/>
    <w:rsid w:val="007D4188"/>
    <w:rsid w:val="007D4FBF"/>
    <w:rsid w:val="007D6B6F"/>
    <w:rsid w:val="007E08C2"/>
    <w:rsid w:val="007E3A57"/>
    <w:rsid w:val="007E3E88"/>
    <w:rsid w:val="007E599E"/>
    <w:rsid w:val="007E5B1E"/>
    <w:rsid w:val="007E5DB2"/>
    <w:rsid w:val="007E6EF5"/>
    <w:rsid w:val="007E6F34"/>
    <w:rsid w:val="007E7435"/>
    <w:rsid w:val="007F00C3"/>
    <w:rsid w:val="007F05E3"/>
    <w:rsid w:val="007F1BD2"/>
    <w:rsid w:val="007F27E4"/>
    <w:rsid w:val="007F303C"/>
    <w:rsid w:val="007F3620"/>
    <w:rsid w:val="007F38AF"/>
    <w:rsid w:val="007F3F73"/>
    <w:rsid w:val="007F5237"/>
    <w:rsid w:val="007F5972"/>
    <w:rsid w:val="007F5F46"/>
    <w:rsid w:val="007F5F49"/>
    <w:rsid w:val="007F7393"/>
    <w:rsid w:val="00800377"/>
    <w:rsid w:val="00801776"/>
    <w:rsid w:val="008027A7"/>
    <w:rsid w:val="00802FF4"/>
    <w:rsid w:val="00804FF2"/>
    <w:rsid w:val="0080505C"/>
    <w:rsid w:val="00806953"/>
    <w:rsid w:val="00806ACF"/>
    <w:rsid w:val="00806F8E"/>
    <w:rsid w:val="00810FCF"/>
    <w:rsid w:val="00811282"/>
    <w:rsid w:val="00813263"/>
    <w:rsid w:val="00814363"/>
    <w:rsid w:val="00814389"/>
    <w:rsid w:val="00815BC7"/>
    <w:rsid w:val="0081790C"/>
    <w:rsid w:val="00817B73"/>
    <w:rsid w:val="0082022D"/>
    <w:rsid w:val="00821970"/>
    <w:rsid w:val="00821AA1"/>
    <w:rsid w:val="0082565B"/>
    <w:rsid w:val="00827D8B"/>
    <w:rsid w:val="0083149D"/>
    <w:rsid w:val="00832464"/>
    <w:rsid w:val="00832476"/>
    <w:rsid w:val="008335D2"/>
    <w:rsid w:val="00833F4A"/>
    <w:rsid w:val="00833FEE"/>
    <w:rsid w:val="00835252"/>
    <w:rsid w:val="0083694D"/>
    <w:rsid w:val="0083701F"/>
    <w:rsid w:val="008375B8"/>
    <w:rsid w:val="00837AEA"/>
    <w:rsid w:val="00840709"/>
    <w:rsid w:val="0084070F"/>
    <w:rsid w:val="00840ED5"/>
    <w:rsid w:val="00841047"/>
    <w:rsid w:val="008413C8"/>
    <w:rsid w:val="00841C93"/>
    <w:rsid w:val="008442D9"/>
    <w:rsid w:val="0084580D"/>
    <w:rsid w:val="00846A04"/>
    <w:rsid w:val="008472FC"/>
    <w:rsid w:val="0084769B"/>
    <w:rsid w:val="00847ABA"/>
    <w:rsid w:val="008501F1"/>
    <w:rsid w:val="008513D6"/>
    <w:rsid w:val="00851A5C"/>
    <w:rsid w:val="00852E02"/>
    <w:rsid w:val="0085373A"/>
    <w:rsid w:val="00853BC1"/>
    <w:rsid w:val="00853F61"/>
    <w:rsid w:val="0085456F"/>
    <w:rsid w:val="008555B7"/>
    <w:rsid w:val="008573FD"/>
    <w:rsid w:val="00857F25"/>
    <w:rsid w:val="00860C96"/>
    <w:rsid w:val="0086294C"/>
    <w:rsid w:val="00862ABD"/>
    <w:rsid w:val="00862D5E"/>
    <w:rsid w:val="00864196"/>
    <w:rsid w:val="0086423B"/>
    <w:rsid w:val="00866790"/>
    <w:rsid w:val="0086682B"/>
    <w:rsid w:val="0087010D"/>
    <w:rsid w:val="00870F81"/>
    <w:rsid w:val="0087152D"/>
    <w:rsid w:val="00871C58"/>
    <w:rsid w:val="00872DEF"/>
    <w:rsid w:val="00873EA8"/>
    <w:rsid w:val="00875242"/>
    <w:rsid w:val="0087620E"/>
    <w:rsid w:val="00876DDF"/>
    <w:rsid w:val="00877729"/>
    <w:rsid w:val="00880965"/>
    <w:rsid w:val="00881B65"/>
    <w:rsid w:val="00882855"/>
    <w:rsid w:val="00882F5C"/>
    <w:rsid w:val="00882FCA"/>
    <w:rsid w:val="0088440D"/>
    <w:rsid w:val="00884B96"/>
    <w:rsid w:val="00887298"/>
    <w:rsid w:val="008902D4"/>
    <w:rsid w:val="00890BE0"/>
    <w:rsid w:val="00890EE6"/>
    <w:rsid w:val="008921A2"/>
    <w:rsid w:val="00892282"/>
    <w:rsid w:val="00892561"/>
    <w:rsid w:val="00892A89"/>
    <w:rsid w:val="00892CDB"/>
    <w:rsid w:val="008937D0"/>
    <w:rsid w:val="0089493A"/>
    <w:rsid w:val="00894F1E"/>
    <w:rsid w:val="00895B8E"/>
    <w:rsid w:val="00896350"/>
    <w:rsid w:val="00896692"/>
    <w:rsid w:val="008A08FA"/>
    <w:rsid w:val="008A102E"/>
    <w:rsid w:val="008A34EF"/>
    <w:rsid w:val="008A3580"/>
    <w:rsid w:val="008A3704"/>
    <w:rsid w:val="008A5219"/>
    <w:rsid w:val="008A5482"/>
    <w:rsid w:val="008A5A72"/>
    <w:rsid w:val="008A634C"/>
    <w:rsid w:val="008A68AC"/>
    <w:rsid w:val="008A6FD6"/>
    <w:rsid w:val="008A708A"/>
    <w:rsid w:val="008A70D0"/>
    <w:rsid w:val="008B0ABA"/>
    <w:rsid w:val="008B1027"/>
    <w:rsid w:val="008B13B2"/>
    <w:rsid w:val="008B15B6"/>
    <w:rsid w:val="008B1EF8"/>
    <w:rsid w:val="008B2970"/>
    <w:rsid w:val="008B2C3F"/>
    <w:rsid w:val="008B3733"/>
    <w:rsid w:val="008B41BC"/>
    <w:rsid w:val="008B43AA"/>
    <w:rsid w:val="008B5C35"/>
    <w:rsid w:val="008C04A3"/>
    <w:rsid w:val="008C0532"/>
    <w:rsid w:val="008C056C"/>
    <w:rsid w:val="008C087A"/>
    <w:rsid w:val="008C1A1E"/>
    <w:rsid w:val="008C1B9F"/>
    <w:rsid w:val="008C2428"/>
    <w:rsid w:val="008C2A38"/>
    <w:rsid w:val="008C3422"/>
    <w:rsid w:val="008C4183"/>
    <w:rsid w:val="008C4692"/>
    <w:rsid w:val="008C5B61"/>
    <w:rsid w:val="008C5CA3"/>
    <w:rsid w:val="008C696E"/>
    <w:rsid w:val="008C6A34"/>
    <w:rsid w:val="008C6AA2"/>
    <w:rsid w:val="008C7ED9"/>
    <w:rsid w:val="008D34A9"/>
    <w:rsid w:val="008D3D1F"/>
    <w:rsid w:val="008D619A"/>
    <w:rsid w:val="008D6578"/>
    <w:rsid w:val="008D6B86"/>
    <w:rsid w:val="008D78CA"/>
    <w:rsid w:val="008D7915"/>
    <w:rsid w:val="008E2851"/>
    <w:rsid w:val="008E331E"/>
    <w:rsid w:val="008E3695"/>
    <w:rsid w:val="008E3F86"/>
    <w:rsid w:val="008E46D3"/>
    <w:rsid w:val="008E5CDB"/>
    <w:rsid w:val="008E6D4A"/>
    <w:rsid w:val="008E6F2D"/>
    <w:rsid w:val="008F0286"/>
    <w:rsid w:val="008F07FC"/>
    <w:rsid w:val="008F1CD4"/>
    <w:rsid w:val="008F245E"/>
    <w:rsid w:val="008F3805"/>
    <w:rsid w:val="008F5A5E"/>
    <w:rsid w:val="008F5BB6"/>
    <w:rsid w:val="008F6DC2"/>
    <w:rsid w:val="008F715B"/>
    <w:rsid w:val="008F7758"/>
    <w:rsid w:val="00900C67"/>
    <w:rsid w:val="00900DE6"/>
    <w:rsid w:val="00901E9E"/>
    <w:rsid w:val="00901EDA"/>
    <w:rsid w:val="00901FBD"/>
    <w:rsid w:val="0090278B"/>
    <w:rsid w:val="009051D6"/>
    <w:rsid w:val="00905FC2"/>
    <w:rsid w:val="00906561"/>
    <w:rsid w:val="009101A7"/>
    <w:rsid w:val="00910C50"/>
    <w:rsid w:val="00910FAB"/>
    <w:rsid w:val="00911ECD"/>
    <w:rsid w:val="0091266B"/>
    <w:rsid w:val="00912B86"/>
    <w:rsid w:val="00912E9E"/>
    <w:rsid w:val="0091365E"/>
    <w:rsid w:val="00914782"/>
    <w:rsid w:val="009155EC"/>
    <w:rsid w:val="0091604A"/>
    <w:rsid w:val="00916598"/>
    <w:rsid w:val="00916D43"/>
    <w:rsid w:val="009176AB"/>
    <w:rsid w:val="0092051F"/>
    <w:rsid w:val="00920976"/>
    <w:rsid w:val="00920CF8"/>
    <w:rsid w:val="00923300"/>
    <w:rsid w:val="009236AC"/>
    <w:rsid w:val="00926091"/>
    <w:rsid w:val="0092665D"/>
    <w:rsid w:val="009268CF"/>
    <w:rsid w:val="00926A0D"/>
    <w:rsid w:val="009270DA"/>
    <w:rsid w:val="0092764A"/>
    <w:rsid w:val="009279C9"/>
    <w:rsid w:val="00927DF5"/>
    <w:rsid w:val="00931A9F"/>
    <w:rsid w:val="00933751"/>
    <w:rsid w:val="00933856"/>
    <w:rsid w:val="009339DB"/>
    <w:rsid w:val="009344EA"/>
    <w:rsid w:val="00935116"/>
    <w:rsid w:val="00935D21"/>
    <w:rsid w:val="00936832"/>
    <w:rsid w:val="00937ADF"/>
    <w:rsid w:val="00940571"/>
    <w:rsid w:val="00940A5D"/>
    <w:rsid w:val="00940AD2"/>
    <w:rsid w:val="009416A1"/>
    <w:rsid w:val="00941FB6"/>
    <w:rsid w:val="00942680"/>
    <w:rsid w:val="0094418F"/>
    <w:rsid w:val="00944597"/>
    <w:rsid w:val="00946B19"/>
    <w:rsid w:val="0095166F"/>
    <w:rsid w:val="00951FA4"/>
    <w:rsid w:val="00952DB7"/>
    <w:rsid w:val="00954007"/>
    <w:rsid w:val="00954FE6"/>
    <w:rsid w:val="00955081"/>
    <w:rsid w:val="00955AE7"/>
    <w:rsid w:val="0095642E"/>
    <w:rsid w:val="0095767C"/>
    <w:rsid w:val="009609CA"/>
    <w:rsid w:val="00960C0F"/>
    <w:rsid w:val="00961578"/>
    <w:rsid w:val="00962422"/>
    <w:rsid w:val="00962B61"/>
    <w:rsid w:val="00962F95"/>
    <w:rsid w:val="00962FF2"/>
    <w:rsid w:val="009645EA"/>
    <w:rsid w:val="00965217"/>
    <w:rsid w:val="00965730"/>
    <w:rsid w:val="00966B48"/>
    <w:rsid w:val="0097070E"/>
    <w:rsid w:val="00970BD8"/>
    <w:rsid w:val="00970D95"/>
    <w:rsid w:val="00973398"/>
    <w:rsid w:val="00973503"/>
    <w:rsid w:val="009759C1"/>
    <w:rsid w:val="00975BFD"/>
    <w:rsid w:val="00980ADA"/>
    <w:rsid w:val="00980BF1"/>
    <w:rsid w:val="00981999"/>
    <w:rsid w:val="00982420"/>
    <w:rsid w:val="00983B3B"/>
    <w:rsid w:val="0098451D"/>
    <w:rsid w:val="009846AF"/>
    <w:rsid w:val="00984BEE"/>
    <w:rsid w:val="00985F78"/>
    <w:rsid w:val="00986153"/>
    <w:rsid w:val="009868BC"/>
    <w:rsid w:val="00986FE5"/>
    <w:rsid w:val="009874F0"/>
    <w:rsid w:val="0099024D"/>
    <w:rsid w:val="00991879"/>
    <w:rsid w:val="00991FF2"/>
    <w:rsid w:val="00992AE9"/>
    <w:rsid w:val="00992B48"/>
    <w:rsid w:val="00992D02"/>
    <w:rsid w:val="00993DCA"/>
    <w:rsid w:val="0099414A"/>
    <w:rsid w:val="00994512"/>
    <w:rsid w:val="009948AD"/>
    <w:rsid w:val="00994B5D"/>
    <w:rsid w:val="00994DB9"/>
    <w:rsid w:val="00996818"/>
    <w:rsid w:val="00996AF6"/>
    <w:rsid w:val="009A0030"/>
    <w:rsid w:val="009A132D"/>
    <w:rsid w:val="009A1365"/>
    <w:rsid w:val="009A3833"/>
    <w:rsid w:val="009A4601"/>
    <w:rsid w:val="009A4827"/>
    <w:rsid w:val="009A5006"/>
    <w:rsid w:val="009A5D77"/>
    <w:rsid w:val="009A6505"/>
    <w:rsid w:val="009A6826"/>
    <w:rsid w:val="009A7195"/>
    <w:rsid w:val="009A74FF"/>
    <w:rsid w:val="009A7AD1"/>
    <w:rsid w:val="009B0055"/>
    <w:rsid w:val="009B06DC"/>
    <w:rsid w:val="009B2379"/>
    <w:rsid w:val="009B2B11"/>
    <w:rsid w:val="009B2D91"/>
    <w:rsid w:val="009B3A33"/>
    <w:rsid w:val="009B4E5E"/>
    <w:rsid w:val="009B6648"/>
    <w:rsid w:val="009C0C80"/>
    <w:rsid w:val="009C286D"/>
    <w:rsid w:val="009C302D"/>
    <w:rsid w:val="009C3D10"/>
    <w:rsid w:val="009C4826"/>
    <w:rsid w:val="009C4856"/>
    <w:rsid w:val="009C52DC"/>
    <w:rsid w:val="009C782F"/>
    <w:rsid w:val="009D0417"/>
    <w:rsid w:val="009D1857"/>
    <w:rsid w:val="009D1CA2"/>
    <w:rsid w:val="009D34E9"/>
    <w:rsid w:val="009D3B94"/>
    <w:rsid w:val="009D4C9D"/>
    <w:rsid w:val="009D64DA"/>
    <w:rsid w:val="009D6F83"/>
    <w:rsid w:val="009E0450"/>
    <w:rsid w:val="009E1650"/>
    <w:rsid w:val="009E1BFB"/>
    <w:rsid w:val="009E277D"/>
    <w:rsid w:val="009E2F25"/>
    <w:rsid w:val="009E5779"/>
    <w:rsid w:val="009E6045"/>
    <w:rsid w:val="009E6844"/>
    <w:rsid w:val="009E706E"/>
    <w:rsid w:val="009F0DCF"/>
    <w:rsid w:val="009F203A"/>
    <w:rsid w:val="009F292A"/>
    <w:rsid w:val="009F37B5"/>
    <w:rsid w:val="009F3A62"/>
    <w:rsid w:val="009F3D66"/>
    <w:rsid w:val="009F46AF"/>
    <w:rsid w:val="009F62DC"/>
    <w:rsid w:val="009F728F"/>
    <w:rsid w:val="009F755A"/>
    <w:rsid w:val="00A003CF"/>
    <w:rsid w:val="00A0086C"/>
    <w:rsid w:val="00A018C6"/>
    <w:rsid w:val="00A01F2B"/>
    <w:rsid w:val="00A041CA"/>
    <w:rsid w:val="00A0424D"/>
    <w:rsid w:val="00A04770"/>
    <w:rsid w:val="00A069DD"/>
    <w:rsid w:val="00A11400"/>
    <w:rsid w:val="00A116D3"/>
    <w:rsid w:val="00A11765"/>
    <w:rsid w:val="00A132B8"/>
    <w:rsid w:val="00A13CB8"/>
    <w:rsid w:val="00A16BE4"/>
    <w:rsid w:val="00A17DD6"/>
    <w:rsid w:val="00A22D33"/>
    <w:rsid w:val="00A2384E"/>
    <w:rsid w:val="00A2423D"/>
    <w:rsid w:val="00A24506"/>
    <w:rsid w:val="00A25435"/>
    <w:rsid w:val="00A26AF2"/>
    <w:rsid w:val="00A26D73"/>
    <w:rsid w:val="00A27FEE"/>
    <w:rsid w:val="00A305A8"/>
    <w:rsid w:val="00A30726"/>
    <w:rsid w:val="00A316D6"/>
    <w:rsid w:val="00A31796"/>
    <w:rsid w:val="00A3228A"/>
    <w:rsid w:val="00A325D4"/>
    <w:rsid w:val="00A3418D"/>
    <w:rsid w:val="00A34F1F"/>
    <w:rsid w:val="00A35864"/>
    <w:rsid w:val="00A35CD2"/>
    <w:rsid w:val="00A371E6"/>
    <w:rsid w:val="00A37F11"/>
    <w:rsid w:val="00A40011"/>
    <w:rsid w:val="00A410C8"/>
    <w:rsid w:val="00A42209"/>
    <w:rsid w:val="00A425B6"/>
    <w:rsid w:val="00A44852"/>
    <w:rsid w:val="00A44F03"/>
    <w:rsid w:val="00A45490"/>
    <w:rsid w:val="00A4581D"/>
    <w:rsid w:val="00A45DA9"/>
    <w:rsid w:val="00A46E0B"/>
    <w:rsid w:val="00A516A9"/>
    <w:rsid w:val="00A534B3"/>
    <w:rsid w:val="00A541DD"/>
    <w:rsid w:val="00A5508B"/>
    <w:rsid w:val="00A550FE"/>
    <w:rsid w:val="00A55801"/>
    <w:rsid w:val="00A5603F"/>
    <w:rsid w:val="00A6065D"/>
    <w:rsid w:val="00A60F1D"/>
    <w:rsid w:val="00A6135B"/>
    <w:rsid w:val="00A61CE3"/>
    <w:rsid w:val="00A61EE0"/>
    <w:rsid w:val="00A61F82"/>
    <w:rsid w:val="00A623AD"/>
    <w:rsid w:val="00A62668"/>
    <w:rsid w:val="00A62BB2"/>
    <w:rsid w:val="00A64440"/>
    <w:rsid w:val="00A64A66"/>
    <w:rsid w:val="00A6524D"/>
    <w:rsid w:val="00A65453"/>
    <w:rsid w:val="00A65E57"/>
    <w:rsid w:val="00A65F77"/>
    <w:rsid w:val="00A665E5"/>
    <w:rsid w:val="00A66967"/>
    <w:rsid w:val="00A67427"/>
    <w:rsid w:val="00A675D4"/>
    <w:rsid w:val="00A7125F"/>
    <w:rsid w:val="00A71673"/>
    <w:rsid w:val="00A736D7"/>
    <w:rsid w:val="00A740DD"/>
    <w:rsid w:val="00A74DE1"/>
    <w:rsid w:val="00A7559B"/>
    <w:rsid w:val="00A755E5"/>
    <w:rsid w:val="00A755FB"/>
    <w:rsid w:val="00A75A0F"/>
    <w:rsid w:val="00A75DBC"/>
    <w:rsid w:val="00A77857"/>
    <w:rsid w:val="00A77D38"/>
    <w:rsid w:val="00A80B30"/>
    <w:rsid w:val="00A814F8"/>
    <w:rsid w:val="00A8309E"/>
    <w:rsid w:val="00A83E6C"/>
    <w:rsid w:val="00A841CB"/>
    <w:rsid w:val="00A842C5"/>
    <w:rsid w:val="00A846DF"/>
    <w:rsid w:val="00A8509B"/>
    <w:rsid w:val="00A8537F"/>
    <w:rsid w:val="00A85789"/>
    <w:rsid w:val="00A876D6"/>
    <w:rsid w:val="00A87831"/>
    <w:rsid w:val="00A90127"/>
    <w:rsid w:val="00A91F4C"/>
    <w:rsid w:val="00A93CBA"/>
    <w:rsid w:val="00A94066"/>
    <w:rsid w:val="00A941F7"/>
    <w:rsid w:val="00A953B2"/>
    <w:rsid w:val="00A95606"/>
    <w:rsid w:val="00A95ADF"/>
    <w:rsid w:val="00A96D12"/>
    <w:rsid w:val="00A974AD"/>
    <w:rsid w:val="00AA1C2E"/>
    <w:rsid w:val="00AA24F2"/>
    <w:rsid w:val="00AA3B7E"/>
    <w:rsid w:val="00AA478E"/>
    <w:rsid w:val="00AA4E21"/>
    <w:rsid w:val="00AA5327"/>
    <w:rsid w:val="00AA55DD"/>
    <w:rsid w:val="00AA5E96"/>
    <w:rsid w:val="00AA7DF1"/>
    <w:rsid w:val="00AB728B"/>
    <w:rsid w:val="00AB74B4"/>
    <w:rsid w:val="00AC0D63"/>
    <w:rsid w:val="00AC1C1C"/>
    <w:rsid w:val="00AC2697"/>
    <w:rsid w:val="00AC2A12"/>
    <w:rsid w:val="00AC2A8E"/>
    <w:rsid w:val="00AC3FCE"/>
    <w:rsid w:val="00AC4B51"/>
    <w:rsid w:val="00AC4FFC"/>
    <w:rsid w:val="00AC5E61"/>
    <w:rsid w:val="00AC6B62"/>
    <w:rsid w:val="00AD0010"/>
    <w:rsid w:val="00AD0FC4"/>
    <w:rsid w:val="00AD2BD8"/>
    <w:rsid w:val="00AD3142"/>
    <w:rsid w:val="00AD37C1"/>
    <w:rsid w:val="00AD4446"/>
    <w:rsid w:val="00AD4C12"/>
    <w:rsid w:val="00AD515A"/>
    <w:rsid w:val="00AD6A37"/>
    <w:rsid w:val="00AD7F4B"/>
    <w:rsid w:val="00AE083C"/>
    <w:rsid w:val="00AE0CD0"/>
    <w:rsid w:val="00AE25FE"/>
    <w:rsid w:val="00AE264B"/>
    <w:rsid w:val="00AE36F9"/>
    <w:rsid w:val="00AE4766"/>
    <w:rsid w:val="00AE5F8C"/>
    <w:rsid w:val="00AE65E6"/>
    <w:rsid w:val="00AE72EE"/>
    <w:rsid w:val="00AF151F"/>
    <w:rsid w:val="00AF2380"/>
    <w:rsid w:val="00AF25B8"/>
    <w:rsid w:val="00AF2B56"/>
    <w:rsid w:val="00AF2FD0"/>
    <w:rsid w:val="00AF37A0"/>
    <w:rsid w:val="00AF4F60"/>
    <w:rsid w:val="00AF57AB"/>
    <w:rsid w:val="00AF57B3"/>
    <w:rsid w:val="00AF649F"/>
    <w:rsid w:val="00AF6A98"/>
    <w:rsid w:val="00AF7638"/>
    <w:rsid w:val="00AF7FFE"/>
    <w:rsid w:val="00B008C3"/>
    <w:rsid w:val="00B01E5B"/>
    <w:rsid w:val="00B03923"/>
    <w:rsid w:val="00B03E90"/>
    <w:rsid w:val="00B04A8E"/>
    <w:rsid w:val="00B05173"/>
    <w:rsid w:val="00B057D4"/>
    <w:rsid w:val="00B05F9B"/>
    <w:rsid w:val="00B0722B"/>
    <w:rsid w:val="00B0732C"/>
    <w:rsid w:val="00B1202E"/>
    <w:rsid w:val="00B128D3"/>
    <w:rsid w:val="00B151F4"/>
    <w:rsid w:val="00B21C11"/>
    <w:rsid w:val="00B22337"/>
    <w:rsid w:val="00B2282D"/>
    <w:rsid w:val="00B22C92"/>
    <w:rsid w:val="00B233C9"/>
    <w:rsid w:val="00B238DD"/>
    <w:rsid w:val="00B24ADB"/>
    <w:rsid w:val="00B25D17"/>
    <w:rsid w:val="00B2780E"/>
    <w:rsid w:val="00B31DBF"/>
    <w:rsid w:val="00B328B0"/>
    <w:rsid w:val="00B32ADF"/>
    <w:rsid w:val="00B32D4E"/>
    <w:rsid w:val="00B32E73"/>
    <w:rsid w:val="00B345B3"/>
    <w:rsid w:val="00B34D92"/>
    <w:rsid w:val="00B34E5D"/>
    <w:rsid w:val="00B35678"/>
    <w:rsid w:val="00B35F61"/>
    <w:rsid w:val="00B445CC"/>
    <w:rsid w:val="00B45FC4"/>
    <w:rsid w:val="00B500DE"/>
    <w:rsid w:val="00B5140D"/>
    <w:rsid w:val="00B52565"/>
    <w:rsid w:val="00B5316B"/>
    <w:rsid w:val="00B547CF"/>
    <w:rsid w:val="00B55113"/>
    <w:rsid w:val="00B55C46"/>
    <w:rsid w:val="00B56101"/>
    <w:rsid w:val="00B564BF"/>
    <w:rsid w:val="00B565CC"/>
    <w:rsid w:val="00B56B50"/>
    <w:rsid w:val="00B571CE"/>
    <w:rsid w:val="00B57A52"/>
    <w:rsid w:val="00B61B1A"/>
    <w:rsid w:val="00B62336"/>
    <w:rsid w:val="00B62BEF"/>
    <w:rsid w:val="00B631D7"/>
    <w:rsid w:val="00B632E5"/>
    <w:rsid w:val="00B643E0"/>
    <w:rsid w:val="00B64983"/>
    <w:rsid w:val="00B64EF6"/>
    <w:rsid w:val="00B66A5E"/>
    <w:rsid w:val="00B704ED"/>
    <w:rsid w:val="00B70A47"/>
    <w:rsid w:val="00B70A63"/>
    <w:rsid w:val="00B70D64"/>
    <w:rsid w:val="00B72497"/>
    <w:rsid w:val="00B7292E"/>
    <w:rsid w:val="00B735A8"/>
    <w:rsid w:val="00B73D58"/>
    <w:rsid w:val="00B74C6C"/>
    <w:rsid w:val="00B7591B"/>
    <w:rsid w:val="00B778F4"/>
    <w:rsid w:val="00B77AA7"/>
    <w:rsid w:val="00B806C5"/>
    <w:rsid w:val="00B80A9F"/>
    <w:rsid w:val="00B81836"/>
    <w:rsid w:val="00B8427C"/>
    <w:rsid w:val="00B86402"/>
    <w:rsid w:val="00B86E1C"/>
    <w:rsid w:val="00B903D0"/>
    <w:rsid w:val="00B91F3C"/>
    <w:rsid w:val="00B920D3"/>
    <w:rsid w:val="00B93490"/>
    <w:rsid w:val="00B94094"/>
    <w:rsid w:val="00B94B3A"/>
    <w:rsid w:val="00B95AF7"/>
    <w:rsid w:val="00B96126"/>
    <w:rsid w:val="00B97D6C"/>
    <w:rsid w:val="00BA0620"/>
    <w:rsid w:val="00BA1315"/>
    <w:rsid w:val="00BA5B83"/>
    <w:rsid w:val="00BA679E"/>
    <w:rsid w:val="00BB0725"/>
    <w:rsid w:val="00BB231F"/>
    <w:rsid w:val="00BB2CA3"/>
    <w:rsid w:val="00BB35A8"/>
    <w:rsid w:val="00BB3B3F"/>
    <w:rsid w:val="00BB43E7"/>
    <w:rsid w:val="00BB5A5A"/>
    <w:rsid w:val="00BB64F8"/>
    <w:rsid w:val="00BB66D4"/>
    <w:rsid w:val="00BB6A59"/>
    <w:rsid w:val="00BB6F02"/>
    <w:rsid w:val="00BB7472"/>
    <w:rsid w:val="00BC0A3A"/>
    <w:rsid w:val="00BC2442"/>
    <w:rsid w:val="00BC25AC"/>
    <w:rsid w:val="00BC2634"/>
    <w:rsid w:val="00BC3E64"/>
    <w:rsid w:val="00BC4B51"/>
    <w:rsid w:val="00BC4D95"/>
    <w:rsid w:val="00BC6638"/>
    <w:rsid w:val="00BD106D"/>
    <w:rsid w:val="00BD14E6"/>
    <w:rsid w:val="00BD461F"/>
    <w:rsid w:val="00BD505E"/>
    <w:rsid w:val="00BD50B6"/>
    <w:rsid w:val="00BD5446"/>
    <w:rsid w:val="00BD60F6"/>
    <w:rsid w:val="00BD629F"/>
    <w:rsid w:val="00BD73B3"/>
    <w:rsid w:val="00BD7494"/>
    <w:rsid w:val="00BE0E1E"/>
    <w:rsid w:val="00BE0ECA"/>
    <w:rsid w:val="00BE10CD"/>
    <w:rsid w:val="00BE2023"/>
    <w:rsid w:val="00BE2CE5"/>
    <w:rsid w:val="00BE33E7"/>
    <w:rsid w:val="00BE4DAE"/>
    <w:rsid w:val="00BE6308"/>
    <w:rsid w:val="00BE63C6"/>
    <w:rsid w:val="00BE651A"/>
    <w:rsid w:val="00BE7FCF"/>
    <w:rsid w:val="00BF0D5B"/>
    <w:rsid w:val="00BF0FA8"/>
    <w:rsid w:val="00BF1DD7"/>
    <w:rsid w:val="00BF2591"/>
    <w:rsid w:val="00BF4972"/>
    <w:rsid w:val="00BF505C"/>
    <w:rsid w:val="00BF5B40"/>
    <w:rsid w:val="00BF6109"/>
    <w:rsid w:val="00C01CBD"/>
    <w:rsid w:val="00C01DD1"/>
    <w:rsid w:val="00C03C48"/>
    <w:rsid w:val="00C04576"/>
    <w:rsid w:val="00C05591"/>
    <w:rsid w:val="00C0632A"/>
    <w:rsid w:val="00C0648C"/>
    <w:rsid w:val="00C1004F"/>
    <w:rsid w:val="00C10638"/>
    <w:rsid w:val="00C10C3C"/>
    <w:rsid w:val="00C10D76"/>
    <w:rsid w:val="00C12078"/>
    <w:rsid w:val="00C1455D"/>
    <w:rsid w:val="00C15F1D"/>
    <w:rsid w:val="00C15FC0"/>
    <w:rsid w:val="00C16D53"/>
    <w:rsid w:val="00C16D81"/>
    <w:rsid w:val="00C1786D"/>
    <w:rsid w:val="00C17F76"/>
    <w:rsid w:val="00C214B3"/>
    <w:rsid w:val="00C22408"/>
    <w:rsid w:val="00C22A2E"/>
    <w:rsid w:val="00C2360A"/>
    <w:rsid w:val="00C238E6"/>
    <w:rsid w:val="00C244DE"/>
    <w:rsid w:val="00C248B2"/>
    <w:rsid w:val="00C2497D"/>
    <w:rsid w:val="00C24D70"/>
    <w:rsid w:val="00C25368"/>
    <w:rsid w:val="00C25826"/>
    <w:rsid w:val="00C2659A"/>
    <w:rsid w:val="00C27790"/>
    <w:rsid w:val="00C32DE6"/>
    <w:rsid w:val="00C332B8"/>
    <w:rsid w:val="00C3621B"/>
    <w:rsid w:val="00C366B0"/>
    <w:rsid w:val="00C368B8"/>
    <w:rsid w:val="00C37622"/>
    <w:rsid w:val="00C37D20"/>
    <w:rsid w:val="00C42EFE"/>
    <w:rsid w:val="00C43C5C"/>
    <w:rsid w:val="00C4437E"/>
    <w:rsid w:val="00C44399"/>
    <w:rsid w:val="00C447D6"/>
    <w:rsid w:val="00C4586E"/>
    <w:rsid w:val="00C45F96"/>
    <w:rsid w:val="00C47CB5"/>
    <w:rsid w:val="00C50C39"/>
    <w:rsid w:val="00C51C7D"/>
    <w:rsid w:val="00C523E7"/>
    <w:rsid w:val="00C53065"/>
    <w:rsid w:val="00C5363E"/>
    <w:rsid w:val="00C537E1"/>
    <w:rsid w:val="00C545F7"/>
    <w:rsid w:val="00C5496C"/>
    <w:rsid w:val="00C55BBE"/>
    <w:rsid w:val="00C56240"/>
    <w:rsid w:val="00C5722F"/>
    <w:rsid w:val="00C57487"/>
    <w:rsid w:val="00C602CD"/>
    <w:rsid w:val="00C603CA"/>
    <w:rsid w:val="00C61D0B"/>
    <w:rsid w:val="00C62F4A"/>
    <w:rsid w:val="00C63436"/>
    <w:rsid w:val="00C63E1D"/>
    <w:rsid w:val="00C63F77"/>
    <w:rsid w:val="00C64561"/>
    <w:rsid w:val="00C67A9A"/>
    <w:rsid w:val="00C67DF3"/>
    <w:rsid w:val="00C7023B"/>
    <w:rsid w:val="00C71B7A"/>
    <w:rsid w:val="00C71E34"/>
    <w:rsid w:val="00C724B0"/>
    <w:rsid w:val="00C73423"/>
    <w:rsid w:val="00C73FC4"/>
    <w:rsid w:val="00C75A0D"/>
    <w:rsid w:val="00C778AC"/>
    <w:rsid w:val="00C803EF"/>
    <w:rsid w:val="00C80FB7"/>
    <w:rsid w:val="00C81850"/>
    <w:rsid w:val="00C81FD4"/>
    <w:rsid w:val="00C824A8"/>
    <w:rsid w:val="00C82CEC"/>
    <w:rsid w:val="00C82D15"/>
    <w:rsid w:val="00C8361F"/>
    <w:rsid w:val="00C840B9"/>
    <w:rsid w:val="00C8630E"/>
    <w:rsid w:val="00C872AD"/>
    <w:rsid w:val="00C87BA8"/>
    <w:rsid w:val="00C90259"/>
    <w:rsid w:val="00C90CDB"/>
    <w:rsid w:val="00C90E6D"/>
    <w:rsid w:val="00C91E25"/>
    <w:rsid w:val="00C9401A"/>
    <w:rsid w:val="00C95284"/>
    <w:rsid w:val="00C95B03"/>
    <w:rsid w:val="00C968FB"/>
    <w:rsid w:val="00CA1635"/>
    <w:rsid w:val="00CA1B54"/>
    <w:rsid w:val="00CA1B63"/>
    <w:rsid w:val="00CA2289"/>
    <w:rsid w:val="00CA2A92"/>
    <w:rsid w:val="00CA2F66"/>
    <w:rsid w:val="00CA301A"/>
    <w:rsid w:val="00CA3245"/>
    <w:rsid w:val="00CA3C87"/>
    <w:rsid w:val="00CA7E73"/>
    <w:rsid w:val="00CA7EAA"/>
    <w:rsid w:val="00CB142C"/>
    <w:rsid w:val="00CB20C9"/>
    <w:rsid w:val="00CB2A3A"/>
    <w:rsid w:val="00CB402C"/>
    <w:rsid w:val="00CB48DD"/>
    <w:rsid w:val="00CB5188"/>
    <w:rsid w:val="00CB56ED"/>
    <w:rsid w:val="00CB5CEA"/>
    <w:rsid w:val="00CB62AE"/>
    <w:rsid w:val="00CB7C62"/>
    <w:rsid w:val="00CC2F5C"/>
    <w:rsid w:val="00CC3FA4"/>
    <w:rsid w:val="00CC491B"/>
    <w:rsid w:val="00CC4D8F"/>
    <w:rsid w:val="00CC5D28"/>
    <w:rsid w:val="00CC6236"/>
    <w:rsid w:val="00CC72BA"/>
    <w:rsid w:val="00CD137A"/>
    <w:rsid w:val="00CD20B2"/>
    <w:rsid w:val="00CD4200"/>
    <w:rsid w:val="00CD44DC"/>
    <w:rsid w:val="00CD48A7"/>
    <w:rsid w:val="00CD5F4F"/>
    <w:rsid w:val="00CE204F"/>
    <w:rsid w:val="00CE37B5"/>
    <w:rsid w:val="00CE39D9"/>
    <w:rsid w:val="00CE459E"/>
    <w:rsid w:val="00CE5638"/>
    <w:rsid w:val="00CE5B31"/>
    <w:rsid w:val="00CE5D1E"/>
    <w:rsid w:val="00CE60C7"/>
    <w:rsid w:val="00CE6FB3"/>
    <w:rsid w:val="00CE724F"/>
    <w:rsid w:val="00CE75FD"/>
    <w:rsid w:val="00CF2234"/>
    <w:rsid w:val="00CF2739"/>
    <w:rsid w:val="00CF31CC"/>
    <w:rsid w:val="00CF3ABB"/>
    <w:rsid w:val="00CF4943"/>
    <w:rsid w:val="00CF62B3"/>
    <w:rsid w:val="00CF733C"/>
    <w:rsid w:val="00D0038D"/>
    <w:rsid w:val="00D00891"/>
    <w:rsid w:val="00D01C00"/>
    <w:rsid w:val="00D0264B"/>
    <w:rsid w:val="00D029F4"/>
    <w:rsid w:val="00D03FBD"/>
    <w:rsid w:val="00D05D8C"/>
    <w:rsid w:val="00D063E8"/>
    <w:rsid w:val="00D0654A"/>
    <w:rsid w:val="00D070CA"/>
    <w:rsid w:val="00D077BE"/>
    <w:rsid w:val="00D12DF8"/>
    <w:rsid w:val="00D142FE"/>
    <w:rsid w:val="00D14707"/>
    <w:rsid w:val="00D14F31"/>
    <w:rsid w:val="00D15964"/>
    <w:rsid w:val="00D15CC2"/>
    <w:rsid w:val="00D161E1"/>
    <w:rsid w:val="00D17BFD"/>
    <w:rsid w:val="00D2061E"/>
    <w:rsid w:val="00D20B30"/>
    <w:rsid w:val="00D20B6D"/>
    <w:rsid w:val="00D2231B"/>
    <w:rsid w:val="00D226B6"/>
    <w:rsid w:val="00D23A6D"/>
    <w:rsid w:val="00D246FD"/>
    <w:rsid w:val="00D24E49"/>
    <w:rsid w:val="00D257DB"/>
    <w:rsid w:val="00D261F6"/>
    <w:rsid w:val="00D263D5"/>
    <w:rsid w:val="00D276B4"/>
    <w:rsid w:val="00D27B1A"/>
    <w:rsid w:val="00D32DEC"/>
    <w:rsid w:val="00D3381F"/>
    <w:rsid w:val="00D34894"/>
    <w:rsid w:val="00D3585D"/>
    <w:rsid w:val="00D365CA"/>
    <w:rsid w:val="00D36B59"/>
    <w:rsid w:val="00D372CB"/>
    <w:rsid w:val="00D37665"/>
    <w:rsid w:val="00D37C9A"/>
    <w:rsid w:val="00D41653"/>
    <w:rsid w:val="00D4250B"/>
    <w:rsid w:val="00D42963"/>
    <w:rsid w:val="00D42EB7"/>
    <w:rsid w:val="00D43AAA"/>
    <w:rsid w:val="00D45506"/>
    <w:rsid w:val="00D457C8"/>
    <w:rsid w:val="00D45948"/>
    <w:rsid w:val="00D46E2C"/>
    <w:rsid w:val="00D470B4"/>
    <w:rsid w:val="00D474B1"/>
    <w:rsid w:val="00D51CE3"/>
    <w:rsid w:val="00D5288B"/>
    <w:rsid w:val="00D5290F"/>
    <w:rsid w:val="00D550C6"/>
    <w:rsid w:val="00D569F9"/>
    <w:rsid w:val="00D56D97"/>
    <w:rsid w:val="00D57308"/>
    <w:rsid w:val="00D60467"/>
    <w:rsid w:val="00D61B39"/>
    <w:rsid w:val="00D62124"/>
    <w:rsid w:val="00D62C05"/>
    <w:rsid w:val="00D63994"/>
    <w:rsid w:val="00D645E0"/>
    <w:rsid w:val="00D64992"/>
    <w:rsid w:val="00D64D72"/>
    <w:rsid w:val="00D65426"/>
    <w:rsid w:val="00D661A5"/>
    <w:rsid w:val="00D66C83"/>
    <w:rsid w:val="00D71D08"/>
    <w:rsid w:val="00D725C2"/>
    <w:rsid w:val="00D75811"/>
    <w:rsid w:val="00D759AC"/>
    <w:rsid w:val="00D75F4D"/>
    <w:rsid w:val="00D7693C"/>
    <w:rsid w:val="00D76BAE"/>
    <w:rsid w:val="00D80D5A"/>
    <w:rsid w:val="00D816B6"/>
    <w:rsid w:val="00D819F4"/>
    <w:rsid w:val="00D82182"/>
    <w:rsid w:val="00D8279D"/>
    <w:rsid w:val="00D86F30"/>
    <w:rsid w:val="00D87A3F"/>
    <w:rsid w:val="00D904B4"/>
    <w:rsid w:val="00D904C2"/>
    <w:rsid w:val="00D90BB5"/>
    <w:rsid w:val="00D933DB"/>
    <w:rsid w:val="00D93D8E"/>
    <w:rsid w:val="00D9581D"/>
    <w:rsid w:val="00D962B8"/>
    <w:rsid w:val="00DA0AE5"/>
    <w:rsid w:val="00DA2460"/>
    <w:rsid w:val="00DA2E49"/>
    <w:rsid w:val="00DA2E87"/>
    <w:rsid w:val="00DA3184"/>
    <w:rsid w:val="00DA3EC5"/>
    <w:rsid w:val="00DA3FE5"/>
    <w:rsid w:val="00DA427B"/>
    <w:rsid w:val="00DA42F9"/>
    <w:rsid w:val="00DA4B72"/>
    <w:rsid w:val="00DA4E8F"/>
    <w:rsid w:val="00DA4F1A"/>
    <w:rsid w:val="00DA5C57"/>
    <w:rsid w:val="00DA5F5F"/>
    <w:rsid w:val="00DA7327"/>
    <w:rsid w:val="00DA7448"/>
    <w:rsid w:val="00DB042B"/>
    <w:rsid w:val="00DB062A"/>
    <w:rsid w:val="00DB0BB1"/>
    <w:rsid w:val="00DB0E95"/>
    <w:rsid w:val="00DB12DE"/>
    <w:rsid w:val="00DB20DF"/>
    <w:rsid w:val="00DB3172"/>
    <w:rsid w:val="00DB5217"/>
    <w:rsid w:val="00DB5273"/>
    <w:rsid w:val="00DB628A"/>
    <w:rsid w:val="00DB7BF8"/>
    <w:rsid w:val="00DB7CB3"/>
    <w:rsid w:val="00DC013C"/>
    <w:rsid w:val="00DC0EE1"/>
    <w:rsid w:val="00DC19E8"/>
    <w:rsid w:val="00DC20BE"/>
    <w:rsid w:val="00DC4AEE"/>
    <w:rsid w:val="00DC4F43"/>
    <w:rsid w:val="00DC56CA"/>
    <w:rsid w:val="00DC607E"/>
    <w:rsid w:val="00DC7695"/>
    <w:rsid w:val="00DC7744"/>
    <w:rsid w:val="00DD0449"/>
    <w:rsid w:val="00DD0C2B"/>
    <w:rsid w:val="00DD0E39"/>
    <w:rsid w:val="00DD0F9D"/>
    <w:rsid w:val="00DD1124"/>
    <w:rsid w:val="00DD16EE"/>
    <w:rsid w:val="00DD27A1"/>
    <w:rsid w:val="00DD3055"/>
    <w:rsid w:val="00DD3EF9"/>
    <w:rsid w:val="00DD4BF2"/>
    <w:rsid w:val="00DD53D3"/>
    <w:rsid w:val="00DD5F43"/>
    <w:rsid w:val="00DD7886"/>
    <w:rsid w:val="00DE09DC"/>
    <w:rsid w:val="00DE1092"/>
    <w:rsid w:val="00DE2301"/>
    <w:rsid w:val="00DE2D4F"/>
    <w:rsid w:val="00DE4742"/>
    <w:rsid w:val="00DE58AD"/>
    <w:rsid w:val="00DE5CED"/>
    <w:rsid w:val="00DE75D3"/>
    <w:rsid w:val="00DF03C8"/>
    <w:rsid w:val="00DF3369"/>
    <w:rsid w:val="00DF3B88"/>
    <w:rsid w:val="00DF4B40"/>
    <w:rsid w:val="00DF4D22"/>
    <w:rsid w:val="00DF5B00"/>
    <w:rsid w:val="00DF6A0E"/>
    <w:rsid w:val="00E00177"/>
    <w:rsid w:val="00E00F38"/>
    <w:rsid w:val="00E01374"/>
    <w:rsid w:val="00E01590"/>
    <w:rsid w:val="00E02002"/>
    <w:rsid w:val="00E023AE"/>
    <w:rsid w:val="00E050D4"/>
    <w:rsid w:val="00E052F9"/>
    <w:rsid w:val="00E053B7"/>
    <w:rsid w:val="00E06965"/>
    <w:rsid w:val="00E075FA"/>
    <w:rsid w:val="00E1177E"/>
    <w:rsid w:val="00E1334F"/>
    <w:rsid w:val="00E133B5"/>
    <w:rsid w:val="00E14434"/>
    <w:rsid w:val="00E160B8"/>
    <w:rsid w:val="00E16227"/>
    <w:rsid w:val="00E16564"/>
    <w:rsid w:val="00E20577"/>
    <w:rsid w:val="00E20684"/>
    <w:rsid w:val="00E20708"/>
    <w:rsid w:val="00E20897"/>
    <w:rsid w:val="00E22B37"/>
    <w:rsid w:val="00E24D00"/>
    <w:rsid w:val="00E24DB7"/>
    <w:rsid w:val="00E257C2"/>
    <w:rsid w:val="00E277C3"/>
    <w:rsid w:val="00E2788D"/>
    <w:rsid w:val="00E31661"/>
    <w:rsid w:val="00E32480"/>
    <w:rsid w:val="00E32CE0"/>
    <w:rsid w:val="00E335C8"/>
    <w:rsid w:val="00E33A08"/>
    <w:rsid w:val="00E34832"/>
    <w:rsid w:val="00E34CAD"/>
    <w:rsid w:val="00E34DC1"/>
    <w:rsid w:val="00E3543E"/>
    <w:rsid w:val="00E36576"/>
    <w:rsid w:val="00E4021F"/>
    <w:rsid w:val="00E423AC"/>
    <w:rsid w:val="00E4240B"/>
    <w:rsid w:val="00E42D47"/>
    <w:rsid w:val="00E438B1"/>
    <w:rsid w:val="00E4438B"/>
    <w:rsid w:val="00E447FF"/>
    <w:rsid w:val="00E44A0F"/>
    <w:rsid w:val="00E44FA5"/>
    <w:rsid w:val="00E45E5A"/>
    <w:rsid w:val="00E460CA"/>
    <w:rsid w:val="00E47605"/>
    <w:rsid w:val="00E47B40"/>
    <w:rsid w:val="00E5001B"/>
    <w:rsid w:val="00E500FB"/>
    <w:rsid w:val="00E50514"/>
    <w:rsid w:val="00E50F26"/>
    <w:rsid w:val="00E535BE"/>
    <w:rsid w:val="00E545AB"/>
    <w:rsid w:val="00E54BBF"/>
    <w:rsid w:val="00E55454"/>
    <w:rsid w:val="00E55CC7"/>
    <w:rsid w:val="00E567C0"/>
    <w:rsid w:val="00E56911"/>
    <w:rsid w:val="00E56BF9"/>
    <w:rsid w:val="00E579C8"/>
    <w:rsid w:val="00E57F7B"/>
    <w:rsid w:val="00E57F98"/>
    <w:rsid w:val="00E6131E"/>
    <w:rsid w:val="00E61440"/>
    <w:rsid w:val="00E61ED8"/>
    <w:rsid w:val="00E623B0"/>
    <w:rsid w:val="00E627B2"/>
    <w:rsid w:val="00E62978"/>
    <w:rsid w:val="00E62F9D"/>
    <w:rsid w:val="00E6314E"/>
    <w:rsid w:val="00E6334C"/>
    <w:rsid w:val="00E64598"/>
    <w:rsid w:val="00E66140"/>
    <w:rsid w:val="00E66814"/>
    <w:rsid w:val="00E674BD"/>
    <w:rsid w:val="00E67DFD"/>
    <w:rsid w:val="00E70937"/>
    <w:rsid w:val="00E70A2B"/>
    <w:rsid w:val="00E71214"/>
    <w:rsid w:val="00E72400"/>
    <w:rsid w:val="00E72AB4"/>
    <w:rsid w:val="00E73E99"/>
    <w:rsid w:val="00E74224"/>
    <w:rsid w:val="00E754B5"/>
    <w:rsid w:val="00E75B20"/>
    <w:rsid w:val="00E760CD"/>
    <w:rsid w:val="00E76C57"/>
    <w:rsid w:val="00E770ED"/>
    <w:rsid w:val="00E77677"/>
    <w:rsid w:val="00E77DEA"/>
    <w:rsid w:val="00E8154B"/>
    <w:rsid w:val="00E830BA"/>
    <w:rsid w:val="00E834EB"/>
    <w:rsid w:val="00E83D4E"/>
    <w:rsid w:val="00E84CB3"/>
    <w:rsid w:val="00E85934"/>
    <w:rsid w:val="00E85D90"/>
    <w:rsid w:val="00E8684C"/>
    <w:rsid w:val="00E86C72"/>
    <w:rsid w:val="00E87045"/>
    <w:rsid w:val="00E872E5"/>
    <w:rsid w:val="00E87AA1"/>
    <w:rsid w:val="00E9021D"/>
    <w:rsid w:val="00E90249"/>
    <w:rsid w:val="00E91488"/>
    <w:rsid w:val="00E91AB1"/>
    <w:rsid w:val="00E91C38"/>
    <w:rsid w:val="00E93873"/>
    <w:rsid w:val="00E940DC"/>
    <w:rsid w:val="00E96156"/>
    <w:rsid w:val="00EA14CE"/>
    <w:rsid w:val="00EA205D"/>
    <w:rsid w:val="00EA28A9"/>
    <w:rsid w:val="00EA441F"/>
    <w:rsid w:val="00EA52F2"/>
    <w:rsid w:val="00EA5E3B"/>
    <w:rsid w:val="00EA655C"/>
    <w:rsid w:val="00EA655D"/>
    <w:rsid w:val="00EA781A"/>
    <w:rsid w:val="00EB03D8"/>
    <w:rsid w:val="00EB0AED"/>
    <w:rsid w:val="00EB1530"/>
    <w:rsid w:val="00EB2EC2"/>
    <w:rsid w:val="00EB36C5"/>
    <w:rsid w:val="00EB4893"/>
    <w:rsid w:val="00EB526E"/>
    <w:rsid w:val="00EB567B"/>
    <w:rsid w:val="00EB6AE7"/>
    <w:rsid w:val="00EB6D6F"/>
    <w:rsid w:val="00EB7888"/>
    <w:rsid w:val="00EB7C96"/>
    <w:rsid w:val="00EC0005"/>
    <w:rsid w:val="00EC1119"/>
    <w:rsid w:val="00EC13D1"/>
    <w:rsid w:val="00EC1712"/>
    <w:rsid w:val="00EC1DF1"/>
    <w:rsid w:val="00EC467E"/>
    <w:rsid w:val="00EC5DA7"/>
    <w:rsid w:val="00EC7B76"/>
    <w:rsid w:val="00ED03B9"/>
    <w:rsid w:val="00ED05B1"/>
    <w:rsid w:val="00ED0CBD"/>
    <w:rsid w:val="00ED0FEE"/>
    <w:rsid w:val="00ED17BD"/>
    <w:rsid w:val="00ED19F3"/>
    <w:rsid w:val="00ED1E8B"/>
    <w:rsid w:val="00ED33A8"/>
    <w:rsid w:val="00ED373C"/>
    <w:rsid w:val="00ED3CC4"/>
    <w:rsid w:val="00ED3DBB"/>
    <w:rsid w:val="00ED42E8"/>
    <w:rsid w:val="00ED4C03"/>
    <w:rsid w:val="00ED4F74"/>
    <w:rsid w:val="00ED5D47"/>
    <w:rsid w:val="00ED5EF8"/>
    <w:rsid w:val="00ED673C"/>
    <w:rsid w:val="00ED750F"/>
    <w:rsid w:val="00ED757B"/>
    <w:rsid w:val="00EE0C65"/>
    <w:rsid w:val="00EE1258"/>
    <w:rsid w:val="00EE2F3A"/>
    <w:rsid w:val="00EE2FD3"/>
    <w:rsid w:val="00EE33F7"/>
    <w:rsid w:val="00EE4F4B"/>
    <w:rsid w:val="00EE4FC4"/>
    <w:rsid w:val="00EE5558"/>
    <w:rsid w:val="00EE5984"/>
    <w:rsid w:val="00EE6627"/>
    <w:rsid w:val="00EE70AC"/>
    <w:rsid w:val="00EE7BC5"/>
    <w:rsid w:val="00EE7CD3"/>
    <w:rsid w:val="00EE7DA5"/>
    <w:rsid w:val="00EF03C1"/>
    <w:rsid w:val="00EF0404"/>
    <w:rsid w:val="00EF0CD3"/>
    <w:rsid w:val="00EF281D"/>
    <w:rsid w:val="00EF29BF"/>
    <w:rsid w:val="00EF36E8"/>
    <w:rsid w:val="00EF3E4E"/>
    <w:rsid w:val="00EF524F"/>
    <w:rsid w:val="00EF65B1"/>
    <w:rsid w:val="00EF680A"/>
    <w:rsid w:val="00EF6C74"/>
    <w:rsid w:val="00F0048C"/>
    <w:rsid w:val="00F00977"/>
    <w:rsid w:val="00F00C38"/>
    <w:rsid w:val="00F00DF9"/>
    <w:rsid w:val="00F01760"/>
    <w:rsid w:val="00F01796"/>
    <w:rsid w:val="00F01B60"/>
    <w:rsid w:val="00F01BF4"/>
    <w:rsid w:val="00F02178"/>
    <w:rsid w:val="00F025C0"/>
    <w:rsid w:val="00F0513C"/>
    <w:rsid w:val="00F05A88"/>
    <w:rsid w:val="00F06DB6"/>
    <w:rsid w:val="00F07234"/>
    <w:rsid w:val="00F10265"/>
    <w:rsid w:val="00F11457"/>
    <w:rsid w:val="00F11673"/>
    <w:rsid w:val="00F117FF"/>
    <w:rsid w:val="00F122C5"/>
    <w:rsid w:val="00F12540"/>
    <w:rsid w:val="00F128B7"/>
    <w:rsid w:val="00F12A89"/>
    <w:rsid w:val="00F14205"/>
    <w:rsid w:val="00F15828"/>
    <w:rsid w:val="00F16A02"/>
    <w:rsid w:val="00F16CE2"/>
    <w:rsid w:val="00F1774E"/>
    <w:rsid w:val="00F21AB1"/>
    <w:rsid w:val="00F22877"/>
    <w:rsid w:val="00F22B4E"/>
    <w:rsid w:val="00F243EC"/>
    <w:rsid w:val="00F24512"/>
    <w:rsid w:val="00F246C3"/>
    <w:rsid w:val="00F252EF"/>
    <w:rsid w:val="00F26F06"/>
    <w:rsid w:val="00F26F78"/>
    <w:rsid w:val="00F2771E"/>
    <w:rsid w:val="00F3006F"/>
    <w:rsid w:val="00F308C9"/>
    <w:rsid w:val="00F30CD7"/>
    <w:rsid w:val="00F30EB2"/>
    <w:rsid w:val="00F3230A"/>
    <w:rsid w:val="00F332C7"/>
    <w:rsid w:val="00F33DA7"/>
    <w:rsid w:val="00F34CC1"/>
    <w:rsid w:val="00F36E53"/>
    <w:rsid w:val="00F37CFB"/>
    <w:rsid w:val="00F415AD"/>
    <w:rsid w:val="00F42AE7"/>
    <w:rsid w:val="00F42BFE"/>
    <w:rsid w:val="00F42F63"/>
    <w:rsid w:val="00F43A6B"/>
    <w:rsid w:val="00F4411D"/>
    <w:rsid w:val="00F44C82"/>
    <w:rsid w:val="00F450FC"/>
    <w:rsid w:val="00F504CF"/>
    <w:rsid w:val="00F50C52"/>
    <w:rsid w:val="00F516F6"/>
    <w:rsid w:val="00F519CC"/>
    <w:rsid w:val="00F54318"/>
    <w:rsid w:val="00F5437E"/>
    <w:rsid w:val="00F54EF5"/>
    <w:rsid w:val="00F553BE"/>
    <w:rsid w:val="00F57062"/>
    <w:rsid w:val="00F57692"/>
    <w:rsid w:val="00F57F70"/>
    <w:rsid w:val="00F61236"/>
    <w:rsid w:val="00F6153B"/>
    <w:rsid w:val="00F61BF4"/>
    <w:rsid w:val="00F61DA9"/>
    <w:rsid w:val="00F623C0"/>
    <w:rsid w:val="00F62654"/>
    <w:rsid w:val="00F63828"/>
    <w:rsid w:val="00F63CBA"/>
    <w:rsid w:val="00F63D59"/>
    <w:rsid w:val="00F64773"/>
    <w:rsid w:val="00F65EB7"/>
    <w:rsid w:val="00F66F19"/>
    <w:rsid w:val="00F677CF"/>
    <w:rsid w:val="00F67AE5"/>
    <w:rsid w:val="00F70487"/>
    <w:rsid w:val="00F7060C"/>
    <w:rsid w:val="00F70BD8"/>
    <w:rsid w:val="00F7155A"/>
    <w:rsid w:val="00F716C2"/>
    <w:rsid w:val="00F72157"/>
    <w:rsid w:val="00F73714"/>
    <w:rsid w:val="00F73CD5"/>
    <w:rsid w:val="00F75AEE"/>
    <w:rsid w:val="00F76754"/>
    <w:rsid w:val="00F77376"/>
    <w:rsid w:val="00F828E2"/>
    <w:rsid w:val="00F92F79"/>
    <w:rsid w:val="00F93395"/>
    <w:rsid w:val="00F93F28"/>
    <w:rsid w:val="00F944BA"/>
    <w:rsid w:val="00F9651E"/>
    <w:rsid w:val="00F96A62"/>
    <w:rsid w:val="00F97E47"/>
    <w:rsid w:val="00FA0B71"/>
    <w:rsid w:val="00FA13A2"/>
    <w:rsid w:val="00FA2298"/>
    <w:rsid w:val="00FA233C"/>
    <w:rsid w:val="00FA2C1A"/>
    <w:rsid w:val="00FA3066"/>
    <w:rsid w:val="00FA306A"/>
    <w:rsid w:val="00FA31BD"/>
    <w:rsid w:val="00FA3625"/>
    <w:rsid w:val="00FA4FAD"/>
    <w:rsid w:val="00FA73C2"/>
    <w:rsid w:val="00FA7CC3"/>
    <w:rsid w:val="00FB1E63"/>
    <w:rsid w:val="00FB2C79"/>
    <w:rsid w:val="00FB2FFA"/>
    <w:rsid w:val="00FB3878"/>
    <w:rsid w:val="00FB3961"/>
    <w:rsid w:val="00FB3E4A"/>
    <w:rsid w:val="00FB3F53"/>
    <w:rsid w:val="00FB4497"/>
    <w:rsid w:val="00FB45F1"/>
    <w:rsid w:val="00FB493B"/>
    <w:rsid w:val="00FB576A"/>
    <w:rsid w:val="00FB6824"/>
    <w:rsid w:val="00FB6A08"/>
    <w:rsid w:val="00FB7791"/>
    <w:rsid w:val="00FC044C"/>
    <w:rsid w:val="00FC0B86"/>
    <w:rsid w:val="00FC0BA1"/>
    <w:rsid w:val="00FC13A7"/>
    <w:rsid w:val="00FC270C"/>
    <w:rsid w:val="00FC2D7F"/>
    <w:rsid w:val="00FC4F52"/>
    <w:rsid w:val="00FC4FF9"/>
    <w:rsid w:val="00FC6019"/>
    <w:rsid w:val="00FC6C50"/>
    <w:rsid w:val="00FC6EDF"/>
    <w:rsid w:val="00FD0581"/>
    <w:rsid w:val="00FD1E56"/>
    <w:rsid w:val="00FD2913"/>
    <w:rsid w:val="00FD2B0F"/>
    <w:rsid w:val="00FD33F0"/>
    <w:rsid w:val="00FD4BDE"/>
    <w:rsid w:val="00FD513B"/>
    <w:rsid w:val="00FD5323"/>
    <w:rsid w:val="00FD6937"/>
    <w:rsid w:val="00FD7694"/>
    <w:rsid w:val="00FE0F74"/>
    <w:rsid w:val="00FE2314"/>
    <w:rsid w:val="00FE347E"/>
    <w:rsid w:val="00FE3ABB"/>
    <w:rsid w:val="00FE3B75"/>
    <w:rsid w:val="00FE3F5C"/>
    <w:rsid w:val="00FE49B1"/>
    <w:rsid w:val="00FE4AA3"/>
    <w:rsid w:val="00FE5349"/>
    <w:rsid w:val="00FE55BA"/>
    <w:rsid w:val="00FE5AB8"/>
    <w:rsid w:val="00FE5BE8"/>
    <w:rsid w:val="00FE695F"/>
    <w:rsid w:val="00FE7386"/>
    <w:rsid w:val="00FE7AF0"/>
    <w:rsid w:val="00FE7EBC"/>
    <w:rsid w:val="00FF0323"/>
    <w:rsid w:val="00FF0BA8"/>
    <w:rsid w:val="00FF0EAD"/>
    <w:rsid w:val="00FF1A22"/>
    <w:rsid w:val="00FF1F94"/>
    <w:rsid w:val="00FF2204"/>
    <w:rsid w:val="00FF24A1"/>
    <w:rsid w:val="00FF2817"/>
    <w:rsid w:val="00FF35A1"/>
    <w:rsid w:val="00FF416C"/>
    <w:rsid w:val="00FF485C"/>
    <w:rsid w:val="00FF5E25"/>
    <w:rsid w:val="00FF6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DBC"/>
    <w:rPr>
      <w:rFonts w:ascii="Tahoma" w:hAnsi="Tahoma" w:cs="Tahoma"/>
      <w:sz w:val="16"/>
      <w:szCs w:val="16"/>
      <w:lang w:val="en-GB"/>
    </w:rPr>
  </w:style>
  <w:style w:type="table" w:styleId="LightShading-Accent4">
    <w:name w:val="Light Shading Accent 4"/>
    <w:basedOn w:val="TableNormal"/>
    <w:uiPriority w:val="60"/>
    <w:rsid w:val="00011D8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ListParagraph">
    <w:name w:val="List Paragraph"/>
    <w:basedOn w:val="Normal"/>
    <w:uiPriority w:val="34"/>
    <w:qFormat/>
    <w:rsid w:val="007F5F46"/>
    <w:pPr>
      <w:ind w:left="720"/>
      <w:contextualSpacing/>
    </w:pPr>
  </w:style>
  <w:style w:type="paragraph" w:styleId="Header">
    <w:name w:val="header"/>
    <w:basedOn w:val="Normal"/>
    <w:link w:val="HeaderChar"/>
    <w:uiPriority w:val="99"/>
    <w:unhideWhenUsed/>
    <w:rsid w:val="005F1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FC2"/>
    <w:rPr>
      <w:lang w:val="en-GB"/>
    </w:rPr>
  </w:style>
  <w:style w:type="paragraph" w:styleId="Footer">
    <w:name w:val="footer"/>
    <w:basedOn w:val="Normal"/>
    <w:link w:val="FooterChar"/>
    <w:uiPriority w:val="99"/>
    <w:unhideWhenUsed/>
    <w:rsid w:val="005F1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FC2"/>
    <w:rPr>
      <w:lang w:val="en-GB"/>
    </w:rPr>
  </w:style>
  <w:style w:type="character" w:styleId="CommentReference">
    <w:name w:val="annotation reference"/>
    <w:basedOn w:val="DefaultParagraphFont"/>
    <w:uiPriority w:val="99"/>
    <w:semiHidden/>
    <w:unhideWhenUsed/>
    <w:rsid w:val="00F01B60"/>
    <w:rPr>
      <w:sz w:val="16"/>
      <w:szCs w:val="16"/>
    </w:rPr>
  </w:style>
  <w:style w:type="paragraph" w:styleId="CommentText">
    <w:name w:val="annotation text"/>
    <w:basedOn w:val="Normal"/>
    <w:link w:val="CommentTextChar"/>
    <w:uiPriority w:val="99"/>
    <w:unhideWhenUsed/>
    <w:rsid w:val="00F7060C"/>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F7060C"/>
    <w:rPr>
      <w:rFonts w:eastAsiaTheme="minorHAnsi"/>
      <w:sz w:val="20"/>
      <w:szCs w:val="20"/>
      <w:lang w:val="en-US" w:eastAsia="en-US"/>
    </w:rPr>
  </w:style>
  <w:style w:type="character" w:styleId="Hyperlink">
    <w:name w:val="Hyperlink"/>
    <w:basedOn w:val="DefaultParagraphFont"/>
    <w:uiPriority w:val="99"/>
    <w:unhideWhenUsed/>
    <w:rsid w:val="009F0DCF"/>
    <w:rPr>
      <w:color w:val="0000FF" w:themeColor="hyperlink"/>
      <w:u w:val="single"/>
    </w:rPr>
  </w:style>
  <w:style w:type="character" w:customStyle="1" w:styleId="apple-converted-space">
    <w:name w:val="apple-converted-space"/>
    <w:basedOn w:val="DefaultParagraphFont"/>
    <w:rsid w:val="00F11457"/>
  </w:style>
  <w:style w:type="character" w:styleId="Strong">
    <w:name w:val="Strong"/>
    <w:basedOn w:val="DefaultParagraphFont"/>
    <w:uiPriority w:val="22"/>
    <w:qFormat/>
    <w:rsid w:val="00A16BE4"/>
    <w:rPr>
      <w:b/>
      <w:bCs/>
    </w:rPr>
  </w:style>
  <w:style w:type="paragraph" w:styleId="NoSpacing">
    <w:name w:val="No Spacing"/>
    <w:uiPriority w:val="1"/>
    <w:qFormat/>
    <w:rsid w:val="008C469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DBC"/>
    <w:rPr>
      <w:rFonts w:ascii="Tahoma" w:hAnsi="Tahoma" w:cs="Tahoma"/>
      <w:sz w:val="16"/>
      <w:szCs w:val="16"/>
      <w:lang w:val="en-GB"/>
    </w:rPr>
  </w:style>
  <w:style w:type="table" w:styleId="LightShading-Accent4">
    <w:name w:val="Light Shading Accent 4"/>
    <w:basedOn w:val="TableNormal"/>
    <w:uiPriority w:val="60"/>
    <w:rsid w:val="00011D8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ListParagraph">
    <w:name w:val="List Paragraph"/>
    <w:basedOn w:val="Normal"/>
    <w:uiPriority w:val="34"/>
    <w:qFormat/>
    <w:rsid w:val="007F5F46"/>
    <w:pPr>
      <w:ind w:left="720"/>
      <w:contextualSpacing/>
    </w:pPr>
  </w:style>
  <w:style w:type="paragraph" w:styleId="Header">
    <w:name w:val="header"/>
    <w:basedOn w:val="Normal"/>
    <w:link w:val="HeaderChar"/>
    <w:uiPriority w:val="99"/>
    <w:unhideWhenUsed/>
    <w:rsid w:val="005F1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FC2"/>
    <w:rPr>
      <w:lang w:val="en-GB"/>
    </w:rPr>
  </w:style>
  <w:style w:type="paragraph" w:styleId="Footer">
    <w:name w:val="footer"/>
    <w:basedOn w:val="Normal"/>
    <w:link w:val="FooterChar"/>
    <w:uiPriority w:val="99"/>
    <w:unhideWhenUsed/>
    <w:rsid w:val="005F1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FC2"/>
    <w:rPr>
      <w:lang w:val="en-GB"/>
    </w:rPr>
  </w:style>
  <w:style w:type="character" w:styleId="CommentReference">
    <w:name w:val="annotation reference"/>
    <w:basedOn w:val="DefaultParagraphFont"/>
    <w:uiPriority w:val="99"/>
    <w:semiHidden/>
    <w:unhideWhenUsed/>
    <w:rsid w:val="00F01B60"/>
    <w:rPr>
      <w:sz w:val="16"/>
      <w:szCs w:val="16"/>
    </w:rPr>
  </w:style>
  <w:style w:type="paragraph" w:styleId="CommentText">
    <w:name w:val="annotation text"/>
    <w:basedOn w:val="Normal"/>
    <w:link w:val="CommentTextChar"/>
    <w:uiPriority w:val="99"/>
    <w:unhideWhenUsed/>
    <w:rsid w:val="00F7060C"/>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F7060C"/>
    <w:rPr>
      <w:rFonts w:eastAsiaTheme="minorHAnsi"/>
      <w:sz w:val="20"/>
      <w:szCs w:val="20"/>
      <w:lang w:val="en-US" w:eastAsia="en-US"/>
    </w:rPr>
  </w:style>
  <w:style w:type="character" w:styleId="Hyperlink">
    <w:name w:val="Hyperlink"/>
    <w:basedOn w:val="DefaultParagraphFont"/>
    <w:uiPriority w:val="99"/>
    <w:unhideWhenUsed/>
    <w:rsid w:val="009F0DCF"/>
    <w:rPr>
      <w:color w:val="0000FF" w:themeColor="hyperlink"/>
      <w:u w:val="single"/>
    </w:rPr>
  </w:style>
  <w:style w:type="character" w:customStyle="1" w:styleId="apple-converted-space">
    <w:name w:val="apple-converted-space"/>
    <w:basedOn w:val="DefaultParagraphFont"/>
    <w:rsid w:val="00F11457"/>
  </w:style>
  <w:style w:type="character" w:styleId="Strong">
    <w:name w:val="Strong"/>
    <w:basedOn w:val="DefaultParagraphFont"/>
    <w:uiPriority w:val="22"/>
    <w:qFormat/>
    <w:rsid w:val="00A16BE4"/>
    <w:rPr>
      <w:b/>
      <w:bCs/>
    </w:rPr>
  </w:style>
  <w:style w:type="paragraph" w:styleId="NoSpacing">
    <w:name w:val="No Spacing"/>
    <w:uiPriority w:val="1"/>
    <w:qFormat/>
    <w:rsid w:val="008C46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62563">
      <w:bodyDiv w:val="1"/>
      <w:marLeft w:val="0"/>
      <w:marRight w:val="0"/>
      <w:marTop w:val="0"/>
      <w:marBottom w:val="0"/>
      <w:divBdr>
        <w:top w:val="none" w:sz="0" w:space="0" w:color="auto"/>
        <w:left w:val="none" w:sz="0" w:space="0" w:color="auto"/>
        <w:bottom w:val="none" w:sz="0" w:space="0" w:color="auto"/>
        <w:right w:val="none" w:sz="0" w:space="0" w:color="auto"/>
      </w:divBdr>
    </w:div>
    <w:div w:id="182018943">
      <w:bodyDiv w:val="1"/>
      <w:marLeft w:val="0"/>
      <w:marRight w:val="0"/>
      <w:marTop w:val="0"/>
      <w:marBottom w:val="0"/>
      <w:divBdr>
        <w:top w:val="none" w:sz="0" w:space="0" w:color="auto"/>
        <w:left w:val="none" w:sz="0" w:space="0" w:color="auto"/>
        <w:bottom w:val="none" w:sz="0" w:space="0" w:color="auto"/>
        <w:right w:val="none" w:sz="0" w:space="0" w:color="auto"/>
      </w:divBdr>
    </w:div>
    <w:div w:id="223302127">
      <w:bodyDiv w:val="1"/>
      <w:marLeft w:val="0"/>
      <w:marRight w:val="0"/>
      <w:marTop w:val="0"/>
      <w:marBottom w:val="0"/>
      <w:divBdr>
        <w:top w:val="none" w:sz="0" w:space="0" w:color="auto"/>
        <w:left w:val="none" w:sz="0" w:space="0" w:color="auto"/>
        <w:bottom w:val="none" w:sz="0" w:space="0" w:color="auto"/>
        <w:right w:val="none" w:sz="0" w:space="0" w:color="auto"/>
      </w:divBdr>
    </w:div>
    <w:div w:id="228078117">
      <w:bodyDiv w:val="1"/>
      <w:marLeft w:val="0"/>
      <w:marRight w:val="0"/>
      <w:marTop w:val="0"/>
      <w:marBottom w:val="0"/>
      <w:divBdr>
        <w:top w:val="none" w:sz="0" w:space="0" w:color="auto"/>
        <w:left w:val="none" w:sz="0" w:space="0" w:color="auto"/>
        <w:bottom w:val="none" w:sz="0" w:space="0" w:color="auto"/>
        <w:right w:val="none" w:sz="0" w:space="0" w:color="auto"/>
      </w:divBdr>
    </w:div>
    <w:div w:id="253168761">
      <w:bodyDiv w:val="1"/>
      <w:marLeft w:val="0"/>
      <w:marRight w:val="0"/>
      <w:marTop w:val="0"/>
      <w:marBottom w:val="0"/>
      <w:divBdr>
        <w:top w:val="none" w:sz="0" w:space="0" w:color="auto"/>
        <w:left w:val="none" w:sz="0" w:space="0" w:color="auto"/>
        <w:bottom w:val="none" w:sz="0" w:space="0" w:color="auto"/>
        <w:right w:val="none" w:sz="0" w:space="0" w:color="auto"/>
      </w:divBdr>
    </w:div>
    <w:div w:id="328101013">
      <w:bodyDiv w:val="1"/>
      <w:marLeft w:val="0"/>
      <w:marRight w:val="0"/>
      <w:marTop w:val="0"/>
      <w:marBottom w:val="0"/>
      <w:divBdr>
        <w:top w:val="none" w:sz="0" w:space="0" w:color="auto"/>
        <w:left w:val="none" w:sz="0" w:space="0" w:color="auto"/>
        <w:bottom w:val="none" w:sz="0" w:space="0" w:color="auto"/>
        <w:right w:val="none" w:sz="0" w:space="0" w:color="auto"/>
      </w:divBdr>
    </w:div>
    <w:div w:id="346714158">
      <w:bodyDiv w:val="1"/>
      <w:marLeft w:val="0"/>
      <w:marRight w:val="0"/>
      <w:marTop w:val="0"/>
      <w:marBottom w:val="0"/>
      <w:divBdr>
        <w:top w:val="none" w:sz="0" w:space="0" w:color="auto"/>
        <w:left w:val="none" w:sz="0" w:space="0" w:color="auto"/>
        <w:bottom w:val="none" w:sz="0" w:space="0" w:color="auto"/>
        <w:right w:val="none" w:sz="0" w:space="0" w:color="auto"/>
      </w:divBdr>
    </w:div>
    <w:div w:id="349182123">
      <w:bodyDiv w:val="1"/>
      <w:marLeft w:val="0"/>
      <w:marRight w:val="0"/>
      <w:marTop w:val="0"/>
      <w:marBottom w:val="0"/>
      <w:divBdr>
        <w:top w:val="none" w:sz="0" w:space="0" w:color="auto"/>
        <w:left w:val="none" w:sz="0" w:space="0" w:color="auto"/>
        <w:bottom w:val="none" w:sz="0" w:space="0" w:color="auto"/>
        <w:right w:val="none" w:sz="0" w:space="0" w:color="auto"/>
      </w:divBdr>
    </w:div>
    <w:div w:id="421220302">
      <w:bodyDiv w:val="1"/>
      <w:marLeft w:val="0"/>
      <w:marRight w:val="0"/>
      <w:marTop w:val="0"/>
      <w:marBottom w:val="0"/>
      <w:divBdr>
        <w:top w:val="none" w:sz="0" w:space="0" w:color="auto"/>
        <w:left w:val="none" w:sz="0" w:space="0" w:color="auto"/>
        <w:bottom w:val="none" w:sz="0" w:space="0" w:color="auto"/>
        <w:right w:val="none" w:sz="0" w:space="0" w:color="auto"/>
      </w:divBdr>
    </w:div>
    <w:div w:id="437869585">
      <w:bodyDiv w:val="1"/>
      <w:marLeft w:val="0"/>
      <w:marRight w:val="0"/>
      <w:marTop w:val="0"/>
      <w:marBottom w:val="0"/>
      <w:divBdr>
        <w:top w:val="none" w:sz="0" w:space="0" w:color="auto"/>
        <w:left w:val="none" w:sz="0" w:space="0" w:color="auto"/>
        <w:bottom w:val="none" w:sz="0" w:space="0" w:color="auto"/>
        <w:right w:val="none" w:sz="0" w:space="0" w:color="auto"/>
      </w:divBdr>
    </w:div>
    <w:div w:id="437986765">
      <w:bodyDiv w:val="1"/>
      <w:marLeft w:val="0"/>
      <w:marRight w:val="0"/>
      <w:marTop w:val="0"/>
      <w:marBottom w:val="0"/>
      <w:divBdr>
        <w:top w:val="none" w:sz="0" w:space="0" w:color="auto"/>
        <w:left w:val="none" w:sz="0" w:space="0" w:color="auto"/>
        <w:bottom w:val="none" w:sz="0" w:space="0" w:color="auto"/>
        <w:right w:val="none" w:sz="0" w:space="0" w:color="auto"/>
      </w:divBdr>
    </w:div>
    <w:div w:id="481850121">
      <w:bodyDiv w:val="1"/>
      <w:marLeft w:val="0"/>
      <w:marRight w:val="0"/>
      <w:marTop w:val="0"/>
      <w:marBottom w:val="0"/>
      <w:divBdr>
        <w:top w:val="none" w:sz="0" w:space="0" w:color="auto"/>
        <w:left w:val="none" w:sz="0" w:space="0" w:color="auto"/>
        <w:bottom w:val="none" w:sz="0" w:space="0" w:color="auto"/>
        <w:right w:val="none" w:sz="0" w:space="0" w:color="auto"/>
      </w:divBdr>
    </w:div>
    <w:div w:id="495875905">
      <w:bodyDiv w:val="1"/>
      <w:marLeft w:val="0"/>
      <w:marRight w:val="0"/>
      <w:marTop w:val="0"/>
      <w:marBottom w:val="0"/>
      <w:divBdr>
        <w:top w:val="none" w:sz="0" w:space="0" w:color="auto"/>
        <w:left w:val="none" w:sz="0" w:space="0" w:color="auto"/>
        <w:bottom w:val="none" w:sz="0" w:space="0" w:color="auto"/>
        <w:right w:val="none" w:sz="0" w:space="0" w:color="auto"/>
      </w:divBdr>
    </w:div>
    <w:div w:id="498468934">
      <w:bodyDiv w:val="1"/>
      <w:marLeft w:val="0"/>
      <w:marRight w:val="0"/>
      <w:marTop w:val="0"/>
      <w:marBottom w:val="0"/>
      <w:divBdr>
        <w:top w:val="none" w:sz="0" w:space="0" w:color="auto"/>
        <w:left w:val="none" w:sz="0" w:space="0" w:color="auto"/>
        <w:bottom w:val="none" w:sz="0" w:space="0" w:color="auto"/>
        <w:right w:val="none" w:sz="0" w:space="0" w:color="auto"/>
      </w:divBdr>
    </w:div>
    <w:div w:id="519007253">
      <w:bodyDiv w:val="1"/>
      <w:marLeft w:val="0"/>
      <w:marRight w:val="0"/>
      <w:marTop w:val="0"/>
      <w:marBottom w:val="0"/>
      <w:divBdr>
        <w:top w:val="none" w:sz="0" w:space="0" w:color="auto"/>
        <w:left w:val="none" w:sz="0" w:space="0" w:color="auto"/>
        <w:bottom w:val="none" w:sz="0" w:space="0" w:color="auto"/>
        <w:right w:val="none" w:sz="0" w:space="0" w:color="auto"/>
      </w:divBdr>
    </w:div>
    <w:div w:id="531263515">
      <w:bodyDiv w:val="1"/>
      <w:marLeft w:val="0"/>
      <w:marRight w:val="0"/>
      <w:marTop w:val="0"/>
      <w:marBottom w:val="0"/>
      <w:divBdr>
        <w:top w:val="none" w:sz="0" w:space="0" w:color="auto"/>
        <w:left w:val="none" w:sz="0" w:space="0" w:color="auto"/>
        <w:bottom w:val="none" w:sz="0" w:space="0" w:color="auto"/>
        <w:right w:val="none" w:sz="0" w:space="0" w:color="auto"/>
      </w:divBdr>
    </w:div>
    <w:div w:id="537208739">
      <w:bodyDiv w:val="1"/>
      <w:marLeft w:val="0"/>
      <w:marRight w:val="0"/>
      <w:marTop w:val="0"/>
      <w:marBottom w:val="0"/>
      <w:divBdr>
        <w:top w:val="none" w:sz="0" w:space="0" w:color="auto"/>
        <w:left w:val="none" w:sz="0" w:space="0" w:color="auto"/>
        <w:bottom w:val="none" w:sz="0" w:space="0" w:color="auto"/>
        <w:right w:val="none" w:sz="0" w:space="0" w:color="auto"/>
      </w:divBdr>
    </w:div>
    <w:div w:id="563948518">
      <w:bodyDiv w:val="1"/>
      <w:marLeft w:val="0"/>
      <w:marRight w:val="0"/>
      <w:marTop w:val="0"/>
      <w:marBottom w:val="0"/>
      <w:divBdr>
        <w:top w:val="none" w:sz="0" w:space="0" w:color="auto"/>
        <w:left w:val="none" w:sz="0" w:space="0" w:color="auto"/>
        <w:bottom w:val="none" w:sz="0" w:space="0" w:color="auto"/>
        <w:right w:val="none" w:sz="0" w:space="0" w:color="auto"/>
      </w:divBdr>
    </w:div>
    <w:div w:id="566568935">
      <w:bodyDiv w:val="1"/>
      <w:marLeft w:val="0"/>
      <w:marRight w:val="0"/>
      <w:marTop w:val="0"/>
      <w:marBottom w:val="0"/>
      <w:divBdr>
        <w:top w:val="none" w:sz="0" w:space="0" w:color="auto"/>
        <w:left w:val="none" w:sz="0" w:space="0" w:color="auto"/>
        <w:bottom w:val="none" w:sz="0" w:space="0" w:color="auto"/>
        <w:right w:val="none" w:sz="0" w:space="0" w:color="auto"/>
      </w:divBdr>
    </w:div>
    <w:div w:id="566888408">
      <w:bodyDiv w:val="1"/>
      <w:marLeft w:val="0"/>
      <w:marRight w:val="0"/>
      <w:marTop w:val="0"/>
      <w:marBottom w:val="0"/>
      <w:divBdr>
        <w:top w:val="none" w:sz="0" w:space="0" w:color="auto"/>
        <w:left w:val="none" w:sz="0" w:space="0" w:color="auto"/>
        <w:bottom w:val="none" w:sz="0" w:space="0" w:color="auto"/>
        <w:right w:val="none" w:sz="0" w:space="0" w:color="auto"/>
      </w:divBdr>
    </w:div>
    <w:div w:id="567811236">
      <w:bodyDiv w:val="1"/>
      <w:marLeft w:val="0"/>
      <w:marRight w:val="0"/>
      <w:marTop w:val="0"/>
      <w:marBottom w:val="0"/>
      <w:divBdr>
        <w:top w:val="none" w:sz="0" w:space="0" w:color="auto"/>
        <w:left w:val="none" w:sz="0" w:space="0" w:color="auto"/>
        <w:bottom w:val="none" w:sz="0" w:space="0" w:color="auto"/>
        <w:right w:val="none" w:sz="0" w:space="0" w:color="auto"/>
      </w:divBdr>
    </w:div>
    <w:div w:id="582296281">
      <w:bodyDiv w:val="1"/>
      <w:marLeft w:val="0"/>
      <w:marRight w:val="0"/>
      <w:marTop w:val="0"/>
      <w:marBottom w:val="0"/>
      <w:divBdr>
        <w:top w:val="none" w:sz="0" w:space="0" w:color="auto"/>
        <w:left w:val="none" w:sz="0" w:space="0" w:color="auto"/>
        <w:bottom w:val="none" w:sz="0" w:space="0" w:color="auto"/>
        <w:right w:val="none" w:sz="0" w:space="0" w:color="auto"/>
      </w:divBdr>
    </w:div>
    <w:div w:id="582377925">
      <w:bodyDiv w:val="1"/>
      <w:marLeft w:val="0"/>
      <w:marRight w:val="0"/>
      <w:marTop w:val="0"/>
      <w:marBottom w:val="0"/>
      <w:divBdr>
        <w:top w:val="none" w:sz="0" w:space="0" w:color="auto"/>
        <w:left w:val="none" w:sz="0" w:space="0" w:color="auto"/>
        <w:bottom w:val="none" w:sz="0" w:space="0" w:color="auto"/>
        <w:right w:val="none" w:sz="0" w:space="0" w:color="auto"/>
      </w:divBdr>
    </w:div>
    <w:div w:id="691305842">
      <w:bodyDiv w:val="1"/>
      <w:marLeft w:val="0"/>
      <w:marRight w:val="0"/>
      <w:marTop w:val="0"/>
      <w:marBottom w:val="0"/>
      <w:divBdr>
        <w:top w:val="none" w:sz="0" w:space="0" w:color="auto"/>
        <w:left w:val="none" w:sz="0" w:space="0" w:color="auto"/>
        <w:bottom w:val="none" w:sz="0" w:space="0" w:color="auto"/>
        <w:right w:val="none" w:sz="0" w:space="0" w:color="auto"/>
      </w:divBdr>
    </w:div>
    <w:div w:id="712969939">
      <w:bodyDiv w:val="1"/>
      <w:marLeft w:val="0"/>
      <w:marRight w:val="0"/>
      <w:marTop w:val="0"/>
      <w:marBottom w:val="0"/>
      <w:divBdr>
        <w:top w:val="none" w:sz="0" w:space="0" w:color="auto"/>
        <w:left w:val="none" w:sz="0" w:space="0" w:color="auto"/>
        <w:bottom w:val="none" w:sz="0" w:space="0" w:color="auto"/>
        <w:right w:val="none" w:sz="0" w:space="0" w:color="auto"/>
      </w:divBdr>
    </w:div>
    <w:div w:id="752314257">
      <w:bodyDiv w:val="1"/>
      <w:marLeft w:val="0"/>
      <w:marRight w:val="0"/>
      <w:marTop w:val="0"/>
      <w:marBottom w:val="0"/>
      <w:divBdr>
        <w:top w:val="none" w:sz="0" w:space="0" w:color="auto"/>
        <w:left w:val="none" w:sz="0" w:space="0" w:color="auto"/>
        <w:bottom w:val="none" w:sz="0" w:space="0" w:color="auto"/>
        <w:right w:val="none" w:sz="0" w:space="0" w:color="auto"/>
      </w:divBdr>
    </w:div>
    <w:div w:id="762606738">
      <w:bodyDiv w:val="1"/>
      <w:marLeft w:val="0"/>
      <w:marRight w:val="0"/>
      <w:marTop w:val="0"/>
      <w:marBottom w:val="0"/>
      <w:divBdr>
        <w:top w:val="none" w:sz="0" w:space="0" w:color="auto"/>
        <w:left w:val="none" w:sz="0" w:space="0" w:color="auto"/>
        <w:bottom w:val="none" w:sz="0" w:space="0" w:color="auto"/>
        <w:right w:val="none" w:sz="0" w:space="0" w:color="auto"/>
      </w:divBdr>
    </w:div>
    <w:div w:id="782767560">
      <w:bodyDiv w:val="1"/>
      <w:marLeft w:val="0"/>
      <w:marRight w:val="0"/>
      <w:marTop w:val="0"/>
      <w:marBottom w:val="0"/>
      <w:divBdr>
        <w:top w:val="none" w:sz="0" w:space="0" w:color="auto"/>
        <w:left w:val="none" w:sz="0" w:space="0" w:color="auto"/>
        <w:bottom w:val="none" w:sz="0" w:space="0" w:color="auto"/>
        <w:right w:val="none" w:sz="0" w:space="0" w:color="auto"/>
      </w:divBdr>
    </w:div>
    <w:div w:id="799690488">
      <w:bodyDiv w:val="1"/>
      <w:marLeft w:val="0"/>
      <w:marRight w:val="0"/>
      <w:marTop w:val="0"/>
      <w:marBottom w:val="0"/>
      <w:divBdr>
        <w:top w:val="none" w:sz="0" w:space="0" w:color="auto"/>
        <w:left w:val="none" w:sz="0" w:space="0" w:color="auto"/>
        <w:bottom w:val="none" w:sz="0" w:space="0" w:color="auto"/>
        <w:right w:val="none" w:sz="0" w:space="0" w:color="auto"/>
      </w:divBdr>
    </w:div>
    <w:div w:id="823665252">
      <w:bodyDiv w:val="1"/>
      <w:marLeft w:val="0"/>
      <w:marRight w:val="0"/>
      <w:marTop w:val="0"/>
      <w:marBottom w:val="0"/>
      <w:divBdr>
        <w:top w:val="none" w:sz="0" w:space="0" w:color="auto"/>
        <w:left w:val="none" w:sz="0" w:space="0" w:color="auto"/>
        <w:bottom w:val="none" w:sz="0" w:space="0" w:color="auto"/>
        <w:right w:val="none" w:sz="0" w:space="0" w:color="auto"/>
      </w:divBdr>
    </w:div>
    <w:div w:id="827984068">
      <w:bodyDiv w:val="1"/>
      <w:marLeft w:val="0"/>
      <w:marRight w:val="0"/>
      <w:marTop w:val="0"/>
      <w:marBottom w:val="0"/>
      <w:divBdr>
        <w:top w:val="none" w:sz="0" w:space="0" w:color="auto"/>
        <w:left w:val="none" w:sz="0" w:space="0" w:color="auto"/>
        <w:bottom w:val="none" w:sz="0" w:space="0" w:color="auto"/>
        <w:right w:val="none" w:sz="0" w:space="0" w:color="auto"/>
      </w:divBdr>
    </w:div>
    <w:div w:id="852187886">
      <w:bodyDiv w:val="1"/>
      <w:marLeft w:val="0"/>
      <w:marRight w:val="0"/>
      <w:marTop w:val="0"/>
      <w:marBottom w:val="0"/>
      <w:divBdr>
        <w:top w:val="none" w:sz="0" w:space="0" w:color="auto"/>
        <w:left w:val="none" w:sz="0" w:space="0" w:color="auto"/>
        <w:bottom w:val="none" w:sz="0" w:space="0" w:color="auto"/>
        <w:right w:val="none" w:sz="0" w:space="0" w:color="auto"/>
      </w:divBdr>
    </w:div>
    <w:div w:id="884755385">
      <w:bodyDiv w:val="1"/>
      <w:marLeft w:val="0"/>
      <w:marRight w:val="0"/>
      <w:marTop w:val="0"/>
      <w:marBottom w:val="0"/>
      <w:divBdr>
        <w:top w:val="none" w:sz="0" w:space="0" w:color="auto"/>
        <w:left w:val="none" w:sz="0" w:space="0" w:color="auto"/>
        <w:bottom w:val="none" w:sz="0" w:space="0" w:color="auto"/>
        <w:right w:val="none" w:sz="0" w:space="0" w:color="auto"/>
      </w:divBdr>
    </w:div>
    <w:div w:id="893470442">
      <w:bodyDiv w:val="1"/>
      <w:marLeft w:val="0"/>
      <w:marRight w:val="0"/>
      <w:marTop w:val="0"/>
      <w:marBottom w:val="0"/>
      <w:divBdr>
        <w:top w:val="none" w:sz="0" w:space="0" w:color="auto"/>
        <w:left w:val="none" w:sz="0" w:space="0" w:color="auto"/>
        <w:bottom w:val="none" w:sz="0" w:space="0" w:color="auto"/>
        <w:right w:val="none" w:sz="0" w:space="0" w:color="auto"/>
      </w:divBdr>
    </w:div>
    <w:div w:id="915435015">
      <w:bodyDiv w:val="1"/>
      <w:marLeft w:val="0"/>
      <w:marRight w:val="0"/>
      <w:marTop w:val="0"/>
      <w:marBottom w:val="0"/>
      <w:divBdr>
        <w:top w:val="none" w:sz="0" w:space="0" w:color="auto"/>
        <w:left w:val="none" w:sz="0" w:space="0" w:color="auto"/>
        <w:bottom w:val="none" w:sz="0" w:space="0" w:color="auto"/>
        <w:right w:val="none" w:sz="0" w:space="0" w:color="auto"/>
      </w:divBdr>
    </w:div>
    <w:div w:id="992680444">
      <w:bodyDiv w:val="1"/>
      <w:marLeft w:val="0"/>
      <w:marRight w:val="0"/>
      <w:marTop w:val="0"/>
      <w:marBottom w:val="0"/>
      <w:divBdr>
        <w:top w:val="none" w:sz="0" w:space="0" w:color="auto"/>
        <w:left w:val="none" w:sz="0" w:space="0" w:color="auto"/>
        <w:bottom w:val="none" w:sz="0" w:space="0" w:color="auto"/>
        <w:right w:val="none" w:sz="0" w:space="0" w:color="auto"/>
      </w:divBdr>
    </w:div>
    <w:div w:id="1008140459">
      <w:bodyDiv w:val="1"/>
      <w:marLeft w:val="0"/>
      <w:marRight w:val="0"/>
      <w:marTop w:val="0"/>
      <w:marBottom w:val="0"/>
      <w:divBdr>
        <w:top w:val="none" w:sz="0" w:space="0" w:color="auto"/>
        <w:left w:val="none" w:sz="0" w:space="0" w:color="auto"/>
        <w:bottom w:val="none" w:sz="0" w:space="0" w:color="auto"/>
        <w:right w:val="none" w:sz="0" w:space="0" w:color="auto"/>
      </w:divBdr>
    </w:div>
    <w:div w:id="1050424308">
      <w:bodyDiv w:val="1"/>
      <w:marLeft w:val="0"/>
      <w:marRight w:val="0"/>
      <w:marTop w:val="0"/>
      <w:marBottom w:val="0"/>
      <w:divBdr>
        <w:top w:val="none" w:sz="0" w:space="0" w:color="auto"/>
        <w:left w:val="none" w:sz="0" w:space="0" w:color="auto"/>
        <w:bottom w:val="none" w:sz="0" w:space="0" w:color="auto"/>
        <w:right w:val="none" w:sz="0" w:space="0" w:color="auto"/>
      </w:divBdr>
    </w:div>
    <w:div w:id="1058478159">
      <w:bodyDiv w:val="1"/>
      <w:marLeft w:val="0"/>
      <w:marRight w:val="0"/>
      <w:marTop w:val="0"/>
      <w:marBottom w:val="0"/>
      <w:divBdr>
        <w:top w:val="none" w:sz="0" w:space="0" w:color="auto"/>
        <w:left w:val="none" w:sz="0" w:space="0" w:color="auto"/>
        <w:bottom w:val="none" w:sz="0" w:space="0" w:color="auto"/>
        <w:right w:val="none" w:sz="0" w:space="0" w:color="auto"/>
      </w:divBdr>
    </w:div>
    <w:div w:id="1087462499">
      <w:bodyDiv w:val="1"/>
      <w:marLeft w:val="0"/>
      <w:marRight w:val="0"/>
      <w:marTop w:val="0"/>
      <w:marBottom w:val="0"/>
      <w:divBdr>
        <w:top w:val="none" w:sz="0" w:space="0" w:color="auto"/>
        <w:left w:val="none" w:sz="0" w:space="0" w:color="auto"/>
        <w:bottom w:val="none" w:sz="0" w:space="0" w:color="auto"/>
        <w:right w:val="none" w:sz="0" w:space="0" w:color="auto"/>
      </w:divBdr>
    </w:div>
    <w:div w:id="1106576343">
      <w:bodyDiv w:val="1"/>
      <w:marLeft w:val="0"/>
      <w:marRight w:val="0"/>
      <w:marTop w:val="0"/>
      <w:marBottom w:val="0"/>
      <w:divBdr>
        <w:top w:val="none" w:sz="0" w:space="0" w:color="auto"/>
        <w:left w:val="none" w:sz="0" w:space="0" w:color="auto"/>
        <w:bottom w:val="none" w:sz="0" w:space="0" w:color="auto"/>
        <w:right w:val="none" w:sz="0" w:space="0" w:color="auto"/>
      </w:divBdr>
    </w:div>
    <w:div w:id="1235244197">
      <w:bodyDiv w:val="1"/>
      <w:marLeft w:val="0"/>
      <w:marRight w:val="0"/>
      <w:marTop w:val="0"/>
      <w:marBottom w:val="0"/>
      <w:divBdr>
        <w:top w:val="none" w:sz="0" w:space="0" w:color="auto"/>
        <w:left w:val="none" w:sz="0" w:space="0" w:color="auto"/>
        <w:bottom w:val="none" w:sz="0" w:space="0" w:color="auto"/>
        <w:right w:val="none" w:sz="0" w:space="0" w:color="auto"/>
      </w:divBdr>
    </w:div>
    <w:div w:id="1278291766">
      <w:bodyDiv w:val="1"/>
      <w:marLeft w:val="0"/>
      <w:marRight w:val="0"/>
      <w:marTop w:val="0"/>
      <w:marBottom w:val="0"/>
      <w:divBdr>
        <w:top w:val="none" w:sz="0" w:space="0" w:color="auto"/>
        <w:left w:val="none" w:sz="0" w:space="0" w:color="auto"/>
        <w:bottom w:val="none" w:sz="0" w:space="0" w:color="auto"/>
        <w:right w:val="none" w:sz="0" w:space="0" w:color="auto"/>
      </w:divBdr>
    </w:div>
    <w:div w:id="1293633339">
      <w:bodyDiv w:val="1"/>
      <w:marLeft w:val="0"/>
      <w:marRight w:val="0"/>
      <w:marTop w:val="0"/>
      <w:marBottom w:val="0"/>
      <w:divBdr>
        <w:top w:val="none" w:sz="0" w:space="0" w:color="auto"/>
        <w:left w:val="none" w:sz="0" w:space="0" w:color="auto"/>
        <w:bottom w:val="none" w:sz="0" w:space="0" w:color="auto"/>
        <w:right w:val="none" w:sz="0" w:space="0" w:color="auto"/>
      </w:divBdr>
    </w:div>
    <w:div w:id="1301569695">
      <w:bodyDiv w:val="1"/>
      <w:marLeft w:val="0"/>
      <w:marRight w:val="0"/>
      <w:marTop w:val="0"/>
      <w:marBottom w:val="0"/>
      <w:divBdr>
        <w:top w:val="none" w:sz="0" w:space="0" w:color="auto"/>
        <w:left w:val="none" w:sz="0" w:space="0" w:color="auto"/>
        <w:bottom w:val="none" w:sz="0" w:space="0" w:color="auto"/>
        <w:right w:val="none" w:sz="0" w:space="0" w:color="auto"/>
      </w:divBdr>
    </w:div>
    <w:div w:id="1345782109">
      <w:bodyDiv w:val="1"/>
      <w:marLeft w:val="0"/>
      <w:marRight w:val="0"/>
      <w:marTop w:val="0"/>
      <w:marBottom w:val="0"/>
      <w:divBdr>
        <w:top w:val="none" w:sz="0" w:space="0" w:color="auto"/>
        <w:left w:val="none" w:sz="0" w:space="0" w:color="auto"/>
        <w:bottom w:val="none" w:sz="0" w:space="0" w:color="auto"/>
        <w:right w:val="none" w:sz="0" w:space="0" w:color="auto"/>
      </w:divBdr>
    </w:div>
    <w:div w:id="1413314578">
      <w:bodyDiv w:val="1"/>
      <w:marLeft w:val="0"/>
      <w:marRight w:val="0"/>
      <w:marTop w:val="0"/>
      <w:marBottom w:val="0"/>
      <w:divBdr>
        <w:top w:val="none" w:sz="0" w:space="0" w:color="auto"/>
        <w:left w:val="none" w:sz="0" w:space="0" w:color="auto"/>
        <w:bottom w:val="none" w:sz="0" w:space="0" w:color="auto"/>
        <w:right w:val="none" w:sz="0" w:space="0" w:color="auto"/>
      </w:divBdr>
    </w:div>
    <w:div w:id="1456489404">
      <w:bodyDiv w:val="1"/>
      <w:marLeft w:val="0"/>
      <w:marRight w:val="0"/>
      <w:marTop w:val="0"/>
      <w:marBottom w:val="0"/>
      <w:divBdr>
        <w:top w:val="none" w:sz="0" w:space="0" w:color="auto"/>
        <w:left w:val="none" w:sz="0" w:space="0" w:color="auto"/>
        <w:bottom w:val="none" w:sz="0" w:space="0" w:color="auto"/>
        <w:right w:val="none" w:sz="0" w:space="0" w:color="auto"/>
      </w:divBdr>
    </w:div>
    <w:div w:id="1459837672">
      <w:bodyDiv w:val="1"/>
      <w:marLeft w:val="0"/>
      <w:marRight w:val="0"/>
      <w:marTop w:val="0"/>
      <w:marBottom w:val="0"/>
      <w:divBdr>
        <w:top w:val="none" w:sz="0" w:space="0" w:color="auto"/>
        <w:left w:val="none" w:sz="0" w:space="0" w:color="auto"/>
        <w:bottom w:val="none" w:sz="0" w:space="0" w:color="auto"/>
        <w:right w:val="none" w:sz="0" w:space="0" w:color="auto"/>
      </w:divBdr>
    </w:div>
    <w:div w:id="1472360322">
      <w:bodyDiv w:val="1"/>
      <w:marLeft w:val="0"/>
      <w:marRight w:val="0"/>
      <w:marTop w:val="0"/>
      <w:marBottom w:val="0"/>
      <w:divBdr>
        <w:top w:val="none" w:sz="0" w:space="0" w:color="auto"/>
        <w:left w:val="none" w:sz="0" w:space="0" w:color="auto"/>
        <w:bottom w:val="none" w:sz="0" w:space="0" w:color="auto"/>
        <w:right w:val="none" w:sz="0" w:space="0" w:color="auto"/>
      </w:divBdr>
    </w:div>
    <w:div w:id="1618222979">
      <w:bodyDiv w:val="1"/>
      <w:marLeft w:val="0"/>
      <w:marRight w:val="0"/>
      <w:marTop w:val="0"/>
      <w:marBottom w:val="0"/>
      <w:divBdr>
        <w:top w:val="none" w:sz="0" w:space="0" w:color="auto"/>
        <w:left w:val="none" w:sz="0" w:space="0" w:color="auto"/>
        <w:bottom w:val="none" w:sz="0" w:space="0" w:color="auto"/>
        <w:right w:val="none" w:sz="0" w:space="0" w:color="auto"/>
      </w:divBdr>
    </w:div>
    <w:div w:id="1624648784">
      <w:bodyDiv w:val="1"/>
      <w:marLeft w:val="0"/>
      <w:marRight w:val="0"/>
      <w:marTop w:val="0"/>
      <w:marBottom w:val="0"/>
      <w:divBdr>
        <w:top w:val="none" w:sz="0" w:space="0" w:color="auto"/>
        <w:left w:val="none" w:sz="0" w:space="0" w:color="auto"/>
        <w:bottom w:val="none" w:sz="0" w:space="0" w:color="auto"/>
        <w:right w:val="none" w:sz="0" w:space="0" w:color="auto"/>
      </w:divBdr>
    </w:div>
    <w:div w:id="1638755746">
      <w:bodyDiv w:val="1"/>
      <w:marLeft w:val="0"/>
      <w:marRight w:val="0"/>
      <w:marTop w:val="0"/>
      <w:marBottom w:val="0"/>
      <w:divBdr>
        <w:top w:val="none" w:sz="0" w:space="0" w:color="auto"/>
        <w:left w:val="none" w:sz="0" w:space="0" w:color="auto"/>
        <w:bottom w:val="none" w:sz="0" w:space="0" w:color="auto"/>
        <w:right w:val="none" w:sz="0" w:space="0" w:color="auto"/>
      </w:divBdr>
    </w:div>
    <w:div w:id="1681733767">
      <w:bodyDiv w:val="1"/>
      <w:marLeft w:val="0"/>
      <w:marRight w:val="0"/>
      <w:marTop w:val="0"/>
      <w:marBottom w:val="0"/>
      <w:divBdr>
        <w:top w:val="none" w:sz="0" w:space="0" w:color="auto"/>
        <w:left w:val="none" w:sz="0" w:space="0" w:color="auto"/>
        <w:bottom w:val="none" w:sz="0" w:space="0" w:color="auto"/>
        <w:right w:val="none" w:sz="0" w:space="0" w:color="auto"/>
      </w:divBdr>
    </w:div>
    <w:div w:id="1704404825">
      <w:bodyDiv w:val="1"/>
      <w:marLeft w:val="0"/>
      <w:marRight w:val="0"/>
      <w:marTop w:val="0"/>
      <w:marBottom w:val="0"/>
      <w:divBdr>
        <w:top w:val="none" w:sz="0" w:space="0" w:color="auto"/>
        <w:left w:val="none" w:sz="0" w:space="0" w:color="auto"/>
        <w:bottom w:val="none" w:sz="0" w:space="0" w:color="auto"/>
        <w:right w:val="none" w:sz="0" w:space="0" w:color="auto"/>
      </w:divBdr>
    </w:div>
    <w:div w:id="1717973166">
      <w:bodyDiv w:val="1"/>
      <w:marLeft w:val="0"/>
      <w:marRight w:val="0"/>
      <w:marTop w:val="0"/>
      <w:marBottom w:val="0"/>
      <w:divBdr>
        <w:top w:val="none" w:sz="0" w:space="0" w:color="auto"/>
        <w:left w:val="none" w:sz="0" w:space="0" w:color="auto"/>
        <w:bottom w:val="none" w:sz="0" w:space="0" w:color="auto"/>
        <w:right w:val="none" w:sz="0" w:space="0" w:color="auto"/>
      </w:divBdr>
    </w:div>
    <w:div w:id="1720545586">
      <w:bodyDiv w:val="1"/>
      <w:marLeft w:val="0"/>
      <w:marRight w:val="0"/>
      <w:marTop w:val="0"/>
      <w:marBottom w:val="0"/>
      <w:divBdr>
        <w:top w:val="none" w:sz="0" w:space="0" w:color="auto"/>
        <w:left w:val="none" w:sz="0" w:space="0" w:color="auto"/>
        <w:bottom w:val="none" w:sz="0" w:space="0" w:color="auto"/>
        <w:right w:val="none" w:sz="0" w:space="0" w:color="auto"/>
      </w:divBdr>
    </w:div>
    <w:div w:id="1757896347">
      <w:bodyDiv w:val="1"/>
      <w:marLeft w:val="0"/>
      <w:marRight w:val="0"/>
      <w:marTop w:val="0"/>
      <w:marBottom w:val="0"/>
      <w:divBdr>
        <w:top w:val="none" w:sz="0" w:space="0" w:color="auto"/>
        <w:left w:val="none" w:sz="0" w:space="0" w:color="auto"/>
        <w:bottom w:val="none" w:sz="0" w:space="0" w:color="auto"/>
        <w:right w:val="none" w:sz="0" w:space="0" w:color="auto"/>
      </w:divBdr>
    </w:div>
    <w:div w:id="1779987327">
      <w:bodyDiv w:val="1"/>
      <w:marLeft w:val="0"/>
      <w:marRight w:val="0"/>
      <w:marTop w:val="0"/>
      <w:marBottom w:val="0"/>
      <w:divBdr>
        <w:top w:val="none" w:sz="0" w:space="0" w:color="auto"/>
        <w:left w:val="none" w:sz="0" w:space="0" w:color="auto"/>
        <w:bottom w:val="none" w:sz="0" w:space="0" w:color="auto"/>
        <w:right w:val="none" w:sz="0" w:space="0" w:color="auto"/>
      </w:divBdr>
    </w:div>
    <w:div w:id="1797680377">
      <w:bodyDiv w:val="1"/>
      <w:marLeft w:val="0"/>
      <w:marRight w:val="0"/>
      <w:marTop w:val="0"/>
      <w:marBottom w:val="0"/>
      <w:divBdr>
        <w:top w:val="none" w:sz="0" w:space="0" w:color="auto"/>
        <w:left w:val="none" w:sz="0" w:space="0" w:color="auto"/>
        <w:bottom w:val="none" w:sz="0" w:space="0" w:color="auto"/>
        <w:right w:val="none" w:sz="0" w:space="0" w:color="auto"/>
      </w:divBdr>
    </w:div>
    <w:div w:id="1811632435">
      <w:bodyDiv w:val="1"/>
      <w:marLeft w:val="0"/>
      <w:marRight w:val="0"/>
      <w:marTop w:val="0"/>
      <w:marBottom w:val="0"/>
      <w:divBdr>
        <w:top w:val="none" w:sz="0" w:space="0" w:color="auto"/>
        <w:left w:val="none" w:sz="0" w:space="0" w:color="auto"/>
        <w:bottom w:val="none" w:sz="0" w:space="0" w:color="auto"/>
        <w:right w:val="none" w:sz="0" w:space="0" w:color="auto"/>
      </w:divBdr>
    </w:div>
    <w:div w:id="1850753879">
      <w:bodyDiv w:val="1"/>
      <w:marLeft w:val="0"/>
      <w:marRight w:val="0"/>
      <w:marTop w:val="0"/>
      <w:marBottom w:val="0"/>
      <w:divBdr>
        <w:top w:val="none" w:sz="0" w:space="0" w:color="auto"/>
        <w:left w:val="none" w:sz="0" w:space="0" w:color="auto"/>
        <w:bottom w:val="none" w:sz="0" w:space="0" w:color="auto"/>
        <w:right w:val="none" w:sz="0" w:space="0" w:color="auto"/>
      </w:divBdr>
    </w:div>
    <w:div w:id="1872262198">
      <w:bodyDiv w:val="1"/>
      <w:marLeft w:val="0"/>
      <w:marRight w:val="0"/>
      <w:marTop w:val="0"/>
      <w:marBottom w:val="0"/>
      <w:divBdr>
        <w:top w:val="none" w:sz="0" w:space="0" w:color="auto"/>
        <w:left w:val="none" w:sz="0" w:space="0" w:color="auto"/>
        <w:bottom w:val="none" w:sz="0" w:space="0" w:color="auto"/>
        <w:right w:val="none" w:sz="0" w:space="0" w:color="auto"/>
      </w:divBdr>
    </w:div>
    <w:div w:id="1875581505">
      <w:bodyDiv w:val="1"/>
      <w:marLeft w:val="0"/>
      <w:marRight w:val="0"/>
      <w:marTop w:val="0"/>
      <w:marBottom w:val="0"/>
      <w:divBdr>
        <w:top w:val="none" w:sz="0" w:space="0" w:color="auto"/>
        <w:left w:val="none" w:sz="0" w:space="0" w:color="auto"/>
        <w:bottom w:val="none" w:sz="0" w:space="0" w:color="auto"/>
        <w:right w:val="none" w:sz="0" w:space="0" w:color="auto"/>
      </w:divBdr>
    </w:div>
    <w:div w:id="1914461820">
      <w:bodyDiv w:val="1"/>
      <w:marLeft w:val="0"/>
      <w:marRight w:val="0"/>
      <w:marTop w:val="0"/>
      <w:marBottom w:val="0"/>
      <w:divBdr>
        <w:top w:val="none" w:sz="0" w:space="0" w:color="auto"/>
        <w:left w:val="none" w:sz="0" w:space="0" w:color="auto"/>
        <w:bottom w:val="none" w:sz="0" w:space="0" w:color="auto"/>
        <w:right w:val="none" w:sz="0" w:space="0" w:color="auto"/>
      </w:divBdr>
    </w:div>
    <w:div w:id="1937244898">
      <w:bodyDiv w:val="1"/>
      <w:marLeft w:val="0"/>
      <w:marRight w:val="0"/>
      <w:marTop w:val="0"/>
      <w:marBottom w:val="0"/>
      <w:divBdr>
        <w:top w:val="none" w:sz="0" w:space="0" w:color="auto"/>
        <w:left w:val="none" w:sz="0" w:space="0" w:color="auto"/>
        <w:bottom w:val="none" w:sz="0" w:space="0" w:color="auto"/>
        <w:right w:val="none" w:sz="0" w:space="0" w:color="auto"/>
      </w:divBdr>
    </w:div>
    <w:div w:id="1979332231">
      <w:bodyDiv w:val="1"/>
      <w:marLeft w:val="0"/>
      <w:marRight w:val="0"/>
      <w:marTop w:val="0"/>
      <w:marBottom w:val="0"/>
      <w:divBdr>
        <w:top w:val="none" w:sz="0" w:space="0" w:color="auto"/>
        <w:left w:val="none" w:sz="0" w:space="0" w:color="auto"/>
        <w:bottom w:val="none" w:sz="0" w:space="0" w:color="auto"/>
        <w:right w:val="none" w:sz="0" w:space="0" w:color="auto"/>
      </w:divBdr>
    </w:div>
    <w:div w:id="1992251342">
      <w:bodyDiv w:val="1"/>
      <w:marLeft w:val="0"/>
      <w:marRight w:val="0"/>
      <w:marTop w:val="0"/>
      <w:marBottom w:val="0"/>
      <w:divBdr>
        <w:top w:val="none" w:sz="0" w:space="0" w:color="auto"/>
        <w:left w:val="none" w:sz="0" w:space="0" w:color="auto"/>
        <w:bottom w:val="none" w:sz="0" w:space="0" w:color="auto"/>
        <w:right w:val="none" w:sz="0" w:space="0" w:color="auto"/>
      </w:divBdr>
    </w:div>
    <w:div w:id="1997342237">
      <w:bodyDiv w:val="1"/>
      <w:marLeft w:val="0"/>
      <w:marRight w:val="0"/>
      <w:marTop w:val="0"/>
      <w:marBottom w:val="0"/>
      <w:divBdr>
        <w:top w:val="none" w:sz="0" w:space="0" w:color="auto"/>
        <w:left w:val="none" w:sz="0" w:space="0" w:color="auto"/>
        <w:bottom w:val="none" w:sz="0" w:space="0" w:color="auto"/>
        <w:right w:val="none" w:sz="0" w:space="0" w:color="auto"/>
      </w:divBdr>
    </w:div>
    <w:div w:id="2018845916">
      <w:bodyDiv w:val="1"/>
      <w:marLeft w:val="0"/>
      <w:marRight w:val="0"/>
      <w:marTop w:val="0"/>
      <w:marBottom w:val="0"/>
      <w:divBdr>
        <w:top w:val="none" w:sz="0" w:space="0" w:color="auto"/>
        <w:left w:val="none" w:sz="0" w:space="0" w:color="auto"/>
        <w:bottom w:val="none" w:sz="0" w:space="0" w:color="auto"/>
        <w:right w:val="none" w:sz="0" w:space="0" w:color="auto"/>
      </w:divBdr>
    </w:div>
    <w:div w:id="2021160789">
      <w:bodyDiv w:val="1"/>
      <w:marLeft w:val="0"/>
      <w:marRight w:val="0"/>
      <w:marTop w:val="0"/>
      <w:marBottom w:val="0"/>
      <w:divBdr>
        <w:top w:val="none" w:sz="0" w:space="0" w:color="auto"/>
        <w:left w:val="none" w:sz="0" w:space="0" w:color="auto"/>
        <w:bottom w:val="none" w:sz="0" w:space="0" w:color="auto"/>
        <w:right w:val="none" w:sz="0" w:space="0" w:color="auto"/>
      </w:divBdr>
    </w:div>
    <w:div w:id="2023699915">
      <w:bodyDiv w:val="1"/>
      <w:marLeft w:val="0"/>
      <w:marRight w:val="0"/>
      <w:marTop w:val="0"/>
      <w:marBottom w:val="0"/>
      <w:divBdr>
        <w:top w:val="none" w:sz="0" w:space="0" w:color="auto"/>
        <w:left w:val="none" w:sz="0" w:space="0" w:color="auto"/>
        <w:bottom w:val="none" w:sz="0" w:space="0" w:color="auto"/>
        <w:right w:val="none" w:sz="0" w:space="0" w:color="auto"/>
      </w:divBdr>
    </w:div>
    <w:div w:id="2042701230">
      <w:bodyDiv w:val="1"/>
      <w:marLeft w:val="0"/>
      <w:marRight w:val="0"/>
      <w:marTop w:val="0"/>
      <w:marBottom w:val="0"/>
      <w:divBdr>
        <w:top w:val="none" w:sz="0" w:space="0" w:color="auto"/>
        <w:left w:val="none" w:sz="0" w:space="0" w:color="auto"/>
        <w:bottom w:val="none" w:sz="0" w:space="0" w:color="auto"/>
        <w:right w:val="none" w:sz="0" w:space="0" w:color="auto"/>
      </w:divBdr>
    </w:div>
    <w:div w:id="2070375181">
      <w:bodyDiv w:val="1"/>
      <w:marLeft w:val="0"/>
      <w:marRight w:val="0"/>
      <w:marTop w:val="0"/>
      <w:marBottom w:val="0"/>
      <w:divBdr>
        <w:top w:val="none" w:sz="0" w:space="0" w:color="auto"/>
        <w:left w:val="none" w:sz="0" w:space="0" w:color="auto"/>
        <w:bottom w:val="none" w:sz="0" w:space="0" w:color="auto"/>
        <w:right w:val="none" w:sz="0" w:space="0" w:color="auto"/>
      </w:divBdr>
    </w:div>
    <w:div w:id="2079161956">
      <w:bodyDiv w:val="1"/>
      <w:marLeft w:val="0"/>
      <w:marRight w:val="0"/>
      <w:marTop w:val="0"/>
      <w:marBottom w:val="0"/>
      <w:divBdr>
        <w:top w:val="none" w:sz="0" w:space="0" w:color="auto"/>
        <w:left w:val="none" w:sz="0" w:space="0" w:color="auto"/>
        <w:bottom w:val="none" w:sz="0" w:space="0" w:color="auto"/>
        <w:right w:val="none" w:sz="0" w:space="0" w:color="auto"/>
      </w:divBdr>
    </w:div>
    <w:div w:id="2081559956">
      <w:bodyDiv w:val="1"/>
      <w:marLeft w:val="0"/>
      <w:marRight w:val="0"/>
      <w:marTop w:val="0"/>
      <w:marBottom w:val="0"/>
      <w:divBdr>
        <w:top w:val="none" w:sz="0" w:space="0" w:color="auto"/>
        <w:left w:val="none" w:sz="0" w:space="0" w:color="auto"/>
        <w:bottom w:val="none" w:sz="0" w:space="0" w:color="auto"/>
        <w:right w:val="none" w:sz="0" w:space="0" w:color="auto"/>
      </w:divBdr>
    </w:div>
    <w:div w:id="214580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tetteh-dumanya@sic-fsl.com" TargetMode="Externa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chart" Target="charts/chart3.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mailto:research@sic-fs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ikmensah@sic-fsl.com"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mailto:ikmensah@sic-fsl.com" TargetMode="External"/><Relationship Id="rId10" Type="http://schemas.openxmlformats.org/officeDocument/2006/relationships/image" Target="media/image1.jpeg"/><Relationship Id="rId19" Type="http://schemas.openxmlformats.org/officeDocument/2006/relationships/hyperlink" Target="mailto:btetteh-dumanya@sic-fsl.com" TargetMode="External"/><Relationship Id="rId4" Type="http://schemas.microsoft.com/office/2007/relationships/stylesWithEffects" Target="stylesWithEffects.xml"/><Relationship Id="rId9" Type="http://schemas.openxmlformats.org/officeDocument/2006/relationships/hyperlink" Target="http://www.google.com.gh/imgres?q=stock+market&amp;hl=en&amp;sa=X&amp;qscrl=1&amp;nord=1&amp;rlz=1T4TSNO_enUS467GH480&amp;biw=1311&amp;bih=615&amp;tbm=isch&amp;prmd=imvns&amp;tbnid=oTioz7hRPOiMTM:&amp;imgrefurl=http://news.discovery.com/tech/zooms/twitter-stock-market-finance.html&amp;docid=mIFjSovtf7AOlM&amp;imgurl=http://news.discovery.com/tech/2010/11/01/stock-market-zoom.jpg&amp;w=825&amp;h=620&amp;ei=MdLRT6XZI8iBhQe9x_zeAw&amp;zoom=1&amp;iact=hc&amp;vpx=113&amp;vpy=233&amp;dur=1294&amp;hovh=195&amp;hovw=259&amp;tx=160&amp;ty=91&amp;sig=105561116290448373908&amp;page=3&amp;tbnh=127&amp;tbnw=169&amp;start=45&amp;ndsp=24&amp;ved=1t:429,r:0,s:45,i:282" TargetMode="External"/><Relationship Id="rId14" Type="http://schemas.openxmlformats.org/officeDocument/2006/relationships/chart" Target="charts/chart1.xml"/><Relationship Id="rId22" Type="http://schemas.openxmlformats.org/officeDocument/2006/relationships/hyperlink" Target="mailto:research@sic-fsl.com"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045801319898037E-2"/>
          <c:y val="8.8269454123112726E-2"/>
          <c:w val="0.89942478222908062"/>
          <c:h val="0.69390874921122658"/>
        </c:manualLayout>
      </c:layout>
      <c:barChart>
        <c:barDir val="col"/>
        <c:grouping val="clustered"/>
        <c:varyColors val="0"/>
        <c:ser>
          <c:idx val="1"/>
          <c:order val="0"/>
          <c:tx>
            <c:strRef>
              <c:f>'Top-15 Index 2015'!$K$1</c:f>
              <c:strCache>
                <c:ptCount val="1"/>
                <c:pt idx="0">
                  <c:v>GSE YTD Change</c:v>
                </c:pt>
              </c:strCache>
            </c:strRef>
          </c:tx>
          <c:spPr>
            <a:ln w="22225"/>
          </c:spPr>
          <c:invertIfNegative val="0"/>
          <c:cat>
            <c:numRef>
              <c:f>'Top-15 Index 2015'!$A$3:$A$183</c:f>
              <c:numCache>
                <c:formatCode>[$-409]d\-mmm\-yy;@</c:formatCode>
                <c:ptCount val="181"/>
                <c:pt idx="0">
                  <c:v>42006</c:v>
                </c:pt>
                <c:pt idx="1">
                  <c:v>42009</c:v>
                </c:pt>
                <c:pt idx="2">
                  <c:v>42010</c:v>
                </c:pt>
                <c:pt idx="3">
                  <c:v>42011</c:v>
                </c:pt>
                <c:pt idx="4">
                  <c:v>42012</c:v>
                </c:pt>
                <c:pt idx="5">
                  <c:v>42013</c:v>
                </c:pt>
                <c:pt idx="6">
                  <c:v>42016</c:v>
                </c:pt>
                <c:pt idx="7">
                  <c:v>42017</c:v>
                </c:pt>
                <c:pt idx="8">
                  <c:v>42018</c:v>
                </c:pt>
                <c:pt idx="9">
                  <c:v>42019</c:v>
                </c:pt>
                <c:pt idx="10">
                  <c:v>42020</c:v>
                </c:pt>
                <c:pt idx="11">
                  <c:v>42023</c:v>
                </c:pt>
                <c:pt idx="12">
                  <c:v>42024</c:v>
                </c:pt>
                <c:pt idx="13">
                  <c:v>42025</c:v>
                </c:pt>
                <c:pt idx="14">
                  <c:v>42026</c:v>
                </c:pt>
                <c:pt idx="15">
                  <c:v>42027</c:v>
                </c:pt>
                <c:pt idx="16">
                  <c:v>42030</c:v>
                </c:pt>
                <c:pt idx="17">
                  <c:v>42031</c:v>
                </c:pt>
                <c:pt idx="18">
                  <c:v>42032</c:v>
                </c:pt>
                <c:pt idx="19">
                  <c:v>42033</c:v>
                </c:pt>
                <c:pt idx="20">
                  <c:v>42034</c:v>
                </c:pt>
                <c:pt idx="21">
                  <c:v>42037</c:v>
                </c:pt>
                <c:pt idx="22">
                  <c:v>42038</c:v>
                </c:pt>
                <c:pt idx="23">
                  <c:v>42039</c:v>
                </c:pt>
                <c:pt idx="24">
                  <c:v>42040</c:v>
                </c:pt>
                <c:pt idx="25">
                  <c:v>42041</c:v>
                </c:pt>
                <c:pt idx="26">
                  <c:v>42044</c:v>
                </c:pt>
                <c:pt idx="27">
                  <c:v>42045</c:v>
                </c:pt>
                <c:pt idx="28">
                  <c:v>42046</c:v>
                </c:pt>
                <c:pt idx="29">
                  <c:v>42047</c:v>
                </c:pt>
                <c:pt idx="30">
                  <c:v>42048</c:v>
                </c:pt>
                <c:pt idx="31">
                  <c:v>42051</c:v>
                </c:pt>
                <c:pt idx="32">
                  <c:v>42052</c:v>
                </c:pt>
                <c:pt idx="33">
                  <c:v>42053</c:v>
                </c:pt>
                <c:pt idx="34">
                  <c:v>42054</c:v>
                </c:pt>
                <c:pt idx="35">
                  <c:v>42055</c:v>
                </c:pt>
                <c:pt idx="36">
                  <c:v>42058</c:v>
                </c:pt>
                <c:pt idx="37">
                  <c:v>42059</c:v>
                </c:pt>
                <c:pt idx="38">
                  <c:v>42060</c:v>
                </c:pt>
                <c:pt idx="39">
                  <c:v>42061</c:v>
                </c:pt>
                <c:pt idx="40">
                  <c:v>42062</c:v>
                </c:pt>
                <c:pt idx="41">
                  <c:v>42065</c:v>
                </c:pt>
                <c:pt idx="42">
                  <c:v>42066</c:v>
                </c:pt>
                <c:pt idx="43">
                  <c:v>42067</c:v>
                </c:pt>
                <c:pt idx="44">
                  <c:v>42068</c:v>
                </c:pt>
                <c:pt idx="45">
                  <c:v>42072</c:v>
                </c:pt>
                <c:pt idx="46">
                  <c:v>42073</c:v>
                </c:pt>
                <c:pt idx="47">
                  <c:v>42074</c:v>
                </c:pt>
                <c:pt idx="48">
                  <c:v>42075</c:v>
                </c:pt>
                <c:pt idx="49">
                  <c:v>42076</c:v>
                </c:pt>
                <c:pt idx="50">
                  <c:v>42079</c:v>
                </c:pt>
                <c:pt idx="51">
                  <c:v>42080</c:v>
                </c:pt>
                <c:pt idx="52">
                  <c:v>42081</c:v>
                </c:pt>
                <c:pt idx="53">
                  <c:v>42082</c:v>
                </c:pt>
                <c:pt idx="54">
                  <c:v>42083</c:v>
                </c:pt>
                <c:pt idx="55">
                  <c:v>42086</c:v>
                </c:pt>
                <c:pt idx="56">
                  <c:v>42087</c:v>
                </c:pt>
                <c:pt idx="57">
                  <c:v>42088</c:v>
                </c:pt>
                <c:pt idx="58">
                  <c:v>42089</c:v>
                </c:pt>
                <c:pt idx="59">
                  <c:v>42090</c:v>
                </c:pt>
                <c:pt idx="60">
                  <c:v>42093</c:v>
                </c:pt>
                <c:pt idx="61">
                  <c:v>42094</c:v>
                </c:pt>
                <c:pt idx="62">
                  <c:v>42095</c:v>
                </c:pt>
                <c:pt idx="63">
                  <c:v>42096</c:v>
                </c:pt>
                <c:pt idx="64">
                  <c:v>42101</c:v>
                </c:pt>
                <c:pt idx="65">
                  <c:v>42102</c:v>
                </c:pt>
                <c:pt idx="66">
                  <c:v>42103</c:v>
                </c:pt>
                <c:pt idx="67">
                  <c:v>42104</c:v>
                </c:pt>
                <c:pt idx="68">
                  <c:v>42107</c:v>
                </c:pt>
                <c:pt idx="69">
                  <c:v>42108</c:v>
                </c:pt>
                <c:pt idx="70">
                  <c:v>42109</c:v>
                </c:pt>
                <c:pt idx="71">
                  <c:v>42110</c:v>
                </c:pt>
                <c:pt idx="72">
                  <c:v>42111</c:v>
                </c:pt>
                <c:pt idx="73">
                  <c:v>42114</c:v>
                </c:pt>
                <c:pt idx="74">
                  <c:v>42115</c:v>
                </c:pt>
                <c:pt idx="75">
                  <c:v>42116</c:v>
                </c:pt>
                <c:pt idx="76">
                  <c:v>42117</c:v>
                </c:pt>
                <c:pt idx="77">
                  <c:v>42118</c:v>
                </c:pt>
                <c:pt idx="78">
                  <c:v>42121</c:v>
                </c:pt>
                <c:pt idx="79">
                  <c:v>42122</c:v>
                </c:pt>
                <c:pt idx="80">
                  <c:v>42123</c:v>
                </c:pt>
                <c:pt idx="81">
                  <c:v>42124</c:v>
                </c:pt>
                <c:pt idx="82">
                  <c:v>42128</c:v>
                </c:pt>
                <c:pt idx="83">
                  <c:v>42129</c:v>
                </c:pt>
                <c:pt idx="84">
                  <c:v>42130</c:v>
                </c:pt>
                <c:pt idx="85">
                  <c:v>42131</c:v>
                </c:pt>
                <c:pt idx="86">
                  <c:v>42132</c:v>
                </c:pt>
                <c:pt idx="87">
                  <c:v>42135</c:v>
                </c:pt>
                <c:pt idx="88">
                  <c:v>42136</c:v>
                </c:pt>
                <c:pt idx="89">
                  <c:v>42137</c:v>
                </c:pt>
                <c:pt idx="90">
                  <c:v>42138</c:v>
                </c:pt>
                <c:pt idx="91">
                  <c:v>42139</c:v>
                </c:pt>
                <c:pt idx="92">
                  <c:v>42142</c:v>
                </c:pt>
                <c:pt idx="93">
                  <c:v>42143</c:v>
                </c:pt>
                <c:pt idx="94">
                  <c:v>42144</c:v>
                </c:pt>
                <c:pt idx="95">
                  <c:v>42145</c:v>
                </c:pt>
                <c:pt idx="96">
                  <c:v>42146</c:v>
                </c:pt>
                <c:pt idx="97">
                  <c:v>42150</c:v>
                </c:pt>
                <c:pt idx="98">
                  <c:v>42151</c:v>
                </c:pt>
                <c:pt idx="99">
                  <c:v>42152</c:v>
                </c:pt>
                <c:pt idx="100">
                  <c:v>42153</c:v>
                </c:pt>
                <c:pt idx="101">
                  <c:v>42156</c:v>
                </c:pt>
                <c:pt idx="102">
                  <c:v>42157</c:v>
                </c:pt>
                <c:pt idx="103">
                  <c:v>42158</c:v>
                </c:pt>
                <c:pt idx="104">
                  <c:v>42159</c:v>
                </c:pt>
                <c:pt idx="105">
                  <c:v>42160</c:v>
                </c:pt>
                <c:pt idx="106">
                  <c:v>42163</c:v>
                </c:pt>
                <c:pt idx="107">
                  <c:v>42164</c:v>
                </c:pt>
                <c:pt idx="108">
                  <c:v>42165</c:v>
                </c:pt>
                <c:pt idx="109">
                  <c:v>42166</c:v>
                </c:pt>
                <c:pt idx="110">
                  <c:v>42167</c:v>
                </c:pt>
                <c:pt idx="111">
                  <c:v>42170</c:v>
                </c:pt>
                <c:pt idx="112">
                  <c:v>42171</c:v>
                </c:pt>
                <c:pt idx="113">
                  <c:v>42172</c:v>
                </c:pt>
                <c:pt idx="114">
                  <c:v>42173</c:v>
                </c:pt>
                <c:pt idx="115">
                  <c:v>42174</c:v>
                </c:pt>
                <c:pt idx="116">
                  <c:v>42177</c:v>
                </c:pt>
                <c:pt idx="117">
                  <c:v>42178</c:v>
                </c:pt>
                <c:pt idx="118">
                  <c:v>42179</c:v>
                </c:pt>
                <c:pt idx="119">
                  <c:v>42180</c:v>
                </c:pt>
                <c:pt idx="120">
                  <c:v>42181</c:v>
                </c:pt>
                <c:pt idx="121">
                  <c:v>42184</c:v>
                </c:pt>
                <c:pt idx="122">
                  <c:v>42185</c:v>
                </c:pt>
                <c:pt idx="123">
                  <c:v>42187</c:v>
                </c:pt>
                <c:pt idx="124">
                  <c:v>42188</c:v>
                </c:pt>
                <c:pt idx="125">
                  <c:v>42191</c:v>
                </c:pt>
                <c:pt idx="126">
                  <c:v>42192</c:v>
                </c:pt>
                <c:pt idx="127">
                  <c:v>42193</c:v>
                </c:pt>
                <c:pt idx="128">
                  <c:v>42194</c:v>
                </c:pt>
                <c:pt idx="129">
                  <c:v>42195</c:v>
                </c:pt>
                <c:pt idx="130">
                  <c:v>42198</c:v>
                </c:pt>
                <c:pt idx="131">
                  <c:v>42199</c:v>
                </c:pt>
                <c:pt idx="132">
                  <c:v>42200</c:v>
                </c:pt>
                <c:pt idx="133">
                  <c:v>42201</c:v>
                </c:pt>
                <c:pt idx="134">
                  <c:v>42202</c:v>
                </c:pt>
                <c:pt idx="135">
                  <c:v>42206</c:v>
                </c:pt>
                <c:pt idx="136">
                  <c:v>42207</c:v>
                </c:pt>
                <c:pt idx="137">
                  <c:v>42208</c:v>
                </c:pt>
                <c:pt idx="138">
                  <c:v>42209</c:v>
                </c:pt>
                <c:pt idx="139">
                  <c:v>42212</c:v>
                </c:pt>
                <c:pt idx="140">
                  <c:v>42213</c:v>
                </c:pt>
                <c:pt idx="141">
                  <c:v>42214</c:v>
                </c:pt>
                <c:pt idx="142">
                  <c:v>42215</c:v>
                </c:pt>
                <c:pt idx="143">
                  <c:v>42216</c:v>
                </c:pt>
                <c:pt idx="144">
                  <c:v>42219</c:v>
                </c:pt>
                <c:pt idx="145">
                  <c:v>42220</c:v>
                </c:pt>
                <c:pt idx="146">
                  <c:v>42221</c:v>
                </c:pt>
                <c:pt idx="147">
                  <c:v>42222</c:v>
                </c:pt>
                <c:pt idx="148">
                  <c:v>42223</c:v>
                </c:pt>
                <c:pt idx="149">
                  <c:v>42226</c:v>
                </c:pt>
                <c:pt idx="150">
                  <c:v>42227</c:v>
                </c:pt>
                <c:pt idx="151">
                  <c:v>42228</c:v>
                </c:pt>
                <c:pt idx="152">
                  <c:v>42229</c:v>
                </c:pt>
                <c:pt idx="153">
                  <c:v>42230</c:v>
                </c:pt>
                <c:pt idx="154">
                  <c:v>42233</c:v>
                </c:pt>
                <c:pt idx="155">
                  <c:v>42234</c:v>
                </c:pt>
                <c:pt idx="156">
                  <c:v>42235</c:v>
                </c:pt>
                <c:pt idx="157">
                  <c:v>42236</c:v>
                </c:pt>
                <c:pt idx="158">
                  <c:v>42237</c:v>
                </c:pt>
                <c:pt idx="159">
                  <c:v>42240</c:v>
                </c:pt>
                <c:pt idx="160">
                  <c:v>42241</c:v>
                </c:pt>
                <c:pt idx="161">
                  <c:v>42242</c:v>
                </c:pt>
                <c:pt idx="162">
                  <c:v>42243</c:v>
                </c:pt>
                <c:pt idx="163">
                  <c:v>42244</c:v>
                </c:pt>
                <c:pt idx="164">
                  <c:v>42247</c:v>
                </c:pt>
                <c:pt idx="165">
                  <c:v>42248</c:v>
                </c:pt>
                <c:pt idx="166">
                  <c:v>42249</c:v>
                </c:pt>
                <c:pt idx="167">
                  <c:v>42250</c:v>
                </c:pt>
                <c:pt idx="168">
                  <c:v>42251</c:v>
                </c:pt>
                <c:pt idx="169">
                  <c:v>42254</c:v>
                </c:pt>
                <c:pt idx="170">
                  <c:v>42255</c:v>
                </c:pt>
                <c:pt idx="171">
                  <c:v>42256</c:v>
                </c:pt>
                <c:pt idx="172">
                  <c:v>42257</c:v>
                </c:pt>
                <c:pt idx="173">
                  <c:v>42258</c:v>
                </c:pt>
                <c:pt idx="174">
                  <c:v>42261</c:v>
                </c:pt>
                <c:pt idx="175">
                  <c:v>42262</c:v>
                </c:pt>
                <c:pt idx="176">
                  <c:v>42263</c:v>
                </c:pt>
                <c:pt idx="177">
                  <c:v>42264</c:v>
                </c:pt>
                <c:pt idx="178">
                  <c:v>42265</c:v>
                </c:pt>
                <c:pt idx="179">
                  <c:v>42269</c:v>
                </c:pt>
                <c:pt idx="180">
                  <c:v>42270</c:v>
                </c:pt>
              </c:numCache>
            </c:numRef>
          </c:cat>
          <c:val>
            <c:numRef>
              <c:f>'Top-15 Index 2015'!$K$3:$K$183</c:f>
              <c:numCache>
                <c:formatCode>0.00%</c:formatCode>
                <c:ptCount val="181"/>
                <c:pt idx="0">
                  <c:v>1.1631918337741454E-2</c:v>
                </c:pt>
                <c:pt idx="1">
                  <c:v>9.4824459757101021E-3</c:v>
                </c:pt>
                <c:pt idx="2">
                  <c:v>6.0282527354911103E-3</c:v>
                </c:pt>
                <c:pt idx="3">
                  <c:v>5.0419722072339431E-3</c:v>
                </c:pt>
                <c:pt idx="4">
                  <c:v>4.2237574192179553E-3</c:v>
                </c:pt>
                <c:pt idx="5">
                  <c:v>3.0959478465543742E-5</c:v>
                </c:pt>
                <c:pt idx="6">
                  <c:v>-3.8920487213740221E-4</c:v>
                </c:pt>
                <c:pt idx="7">
                  <c:v>-5.4842504710253851E-4</c:v>
                </c:pt>
                <c:pt idx="8">
                  <c:v>-1.4413848616995933E-2</c:v>
                </c:pt>
                <c:pt idx="9">
                  <c:v>-1.439173470380623E-2</c:v>
                </c:pt>
                <c:pt idx="10">
                  <c:v>-1.2220148428585377E-2</c:v>
                </c:pt>
                <c:pt idx="11">
                  <c:v>-1.5607999929235462E-2</c:v>
                </c:pt>
                <c:pt idx="12">
                  <c:v>-1.8000725336352538E-2</c:v>
                </c:pt>
                <c:pt idx="13">
                  <c:v>-1.9898099088022123E-2</c:v>
                </c:pt>
                <c:pt idx="14">
                  <c:v>-2.3440747980999727E-2</c:v>
                </c:pt>
                <c:pt idx="15">
                  <c:v>-3.4400403357776665E-2</c:v>
                </c:pt>
                <c:pt idx="16">
                  <c:v>-3.4205800921707968E-2</c:v>
                </c:pt>
                <c:pt idx="17">
                  <c:v>-4.288330045731574E-2</c:v>
                </c:pt>
                <c:pt idx="18">
                  <c:v>-4.1689149145076008E-2</c:v>
                </c:pt>
                <c:pt idx="19">
                  <c:v>-4.4174752987589723E-2</c:v>
                </c:pt>
                <c:pt idx="20">
                  <c:v>-3.8509168428408493E-2</c:v>
                </c:pt>
                <c:pt idx="21">
                  <c:v>-4.6598437873172339E-2</c:v>
                </c:pt>
                <c:pt idx="22">
                  <c:v>-5.1976541560888441E-2</c:v>
                </c:pt>
                <c:pt idx="23">
                  <c:v>-4.8279095275583522E-2</c:v>
                </c:pt>
                <c:pt idx="24">
                  <c:v>-5.189693147340587E-2</c:v>
                </c:pt>
                <c:pt idx="25">
                  <c:v>-4.9190188498995938E-2</c:v>
                </c:pt>
                <c:pt idx="26">
                  <c:v>-4.6470177176672546E-2</c:v>
                </c:pt>
                <c:pt idx="27">
                  <c:v>-5.1052179989562158E-2</c:v>
                </c:pt>
                <c:pt idx="28">
                  <c:v>-4.8809829192134578E-2</c:v>
                </c:pt>
                <c:pt idx="29">
                  <c:v>-4.9314026412857911E-2</c:v>
                </c:pt>
                <c:pt idx="30">
                  <c:v>-4.9495360501012754E-2</c:v>
                </c:pt>
                <c:pt idx="31">
                  <c:v>-4.7925272664549684E-2</c:v>
                </c:pt>
                <c:pt idx="32">
                  <c:v>-4.8566576147048651E-2</c:v>
                </c:pt>
                <c:pt idx="33">
                  <c:v>-4.7301660312602196E-2</c:v>
                </c:pt>
                <c:pt idx="34">
                  <c:v>-4.7491839966033081E-2</c:v>
                </c:pt>
                <c:pt idx="35">
                  <c:v>-4.5386595430380927E-2</c:v>
                </c:pt>
                <c:pt idx="36">
                  <c:v>-4.4099565682744972E-2</c:v>
                </c:pt>
                <c:pt idx="37">
                  <c:v>-4.2923105501057122E-2</c:v>
                </c:pt>
                <c:pt idx="38">
                  <c:v>-4.0994772270921999E-2</c:v>
                </c:pt>
                <c:pt idx="39">
                  <c:v>-4.3480376113435505E-2</c:v>
                </c:pt>
                <c:pt idx="40">
                  <c:v>-3.6740055373238698E-2</c:v>
                </c:pt>
                <c:pt idx="41">
                  <c:v>-3.6275663196256552E-2</c:v>
                </c:pt>
                <c:pt idx="42">
                  <c:v>-3.6762169286428198E-2</c:v>
                </c:pt>
                <c:pt idx="43">
                  <c:v>-3.7177910854393127E-2</c:v>
                </c:pt>
                <c:pt idx="44">
                  <c:v>-3.872588477766669E-2</c:v>
                </c:pt>
                <c:pt idx="45">
                  <c:v>-3.6200475891411801E-2</c:v>
                </c:pt>
                <c:pt idx="46">
                  <c:v>-3.6952348939859082E-2</c:v>
                </c:pt>
                <c:pt idx="47">
                  <c:v>-3.6333159370549616E-2</c:v>
                </c:pt>
                <c:pt idx="48">
                  <c:v>-3.4891332230586138E-2</c:v>
                </c:pt>
                <c:pt idx="49">
                  <c:v>-3.1649432556987531E-2</c:v>
                </c:pt>
                <c:pt idx="50">
                  <c:v>-3.090198229117827E-2</c:v>
                </c:pt>
                <c:pt idx="51">
                  <c:v>-2.952207410814588E-2</c:v>
                </c:pt>
                <c:pt idx="52">
                  <c:v>-3.3515846830191771E-2</c:v>
                </c:pt>
                <c:pt idx="53">
                  <c:v>-2.9070950279077593E-2</c:v>
                </c:pt>
                <c:pt idx="54">
                  <c:v>-3.1039088552953904E-2</c:v>
                </c:pt>
                <c:pt idx="55">
                  <c:v>-2.9601684195628451E-2</c:v>
                </c:pt>
                <c:pt idx="56">
                  <c:v>-2.8991340191595025E-2</c:v>
                </c:pt>
                <c:pt idx="57">
                  <c:v>-2.4166084333619282E-2</c:v>
                </c:pt>
                <c:pt idx="58">
                  <c:v>-2.4285499464843235E-2</c:v>
                </c:pt>
                <c:pt idx="59">
                  <c:v>-2.1583179273071525E-2</c:v>
                </c:pt>
                <c:pt idx="60">
                  <c:v>-2.0216539437952798E-2</c:v>
                </c:pt>
                <c:pt idx="61">
                  <c:v>-1.7978611423163038E-2</c:v>
                </c:pt>
                <c:pt idx="62">
                  <c:v>-1.4723443401650566E-2</c:v>
                </c:pt>
                <c:pt idx="63">
                  <c:v>-1.3480641480393813E-2</c:v>
                </c:pt>
                <c:pt idx="64">
                  <c:v>-1.6182961672165725E-2</c:v>
                </c:pt>
                <c:pt idx="65">
                  <c:v>-1.0420075894950042E-2</c:v>
                </c:pt>
                <c:pt idx="66">
                  <c:v>-1.8995851429885545E-2</c:v>
                </c:pt>
                <c:pt idx="67">
                  <c:v>-1.6987908112267851E-2</c:v>
                </c:pt>
                <c:pt idx="68">
                  <c:v>-1.707636376502646E-2</c:v>
                </c:pt>
                <c:pt idx="69">
                  <c:v>-1.2228993993861218E-2</c:v>
                </c:pt>
                <c:pt idx="70">
                  <c:v>-1.2573971039619214E-2</c:v>
                </c:pt>
                <c:pt idx="71">
                  <c:v>8.5801983175737262E-4</c:v>
                </c:pt>
                <c:pt idx="72">
                  <c:v>4.1706840275627091E-3</c:v>
                </c:pt>
                <c:pt idx="73">
                  <c:v>-5.0906228162509682E-3</c:v>
                </c:pt>
                <c:pt idx="74">
                  <c:v>-4.7456457704929712E-3</c:v>
                </c:pt>
                <c:pt idx="75">
                  <c:v>-4.3254814198902267E-3</c:v>
                </c:pt>
                <c:pt idx="76">
                  <c:v>-7.1649078734371699E-4</c:v>
                </c:pt>
                <c:pt idx="77">
                  <c:v>7.6956417899896347E-4</c:v>
                </c:pt>
                <c:pt idx="78">
                  <c:v>-8.7128817967103338E-4</c:v>
                </c:pt>
                <c:pt idx="79">
                  <c:v>1.2251107907050719E-3</c:v>
                </c:pt>
                <c:pt idx="80">
                  <c:v>3.3215097610813783E-3</c:v>
                </c:pt>
                <c:pt idx="81">
                  <c:v>5.1967695995612604E-3</c:v>
                </c:pt>
                <c:pt idx="82">
                  <c:v>4.9712076850272164E-3</c:v>
                </c:pt>
                <c:pt idx="83">
                  <c:v>4.9712076850272164E-3</c:v>
                </c:pt>
                <c:pt idx="84">
                  <c:v>1.307816826034275E-2</c:v>
                </c:pt>
                <c:pt idx="85">
                  <c:v>5.311761948147393E-3</c:v>
                </c:pt>
                <c:pt idx="86">
                  <c:v>-2.6492468001166648E-3</c:v>
                </c:pt>
                <c:pt idx="87">
                  <c:v>6.634173956886715E-3</c:v>
                </c:pt>
                <c:pt idx="88">
                  <c:v>8.8986386675039986E-3</c:v>
                </c:pt>
                <c:pt idx="89">
                  <c:v>1.7691130551697905E-2</c:v>
                </c:pt>
                <c:pt idx="90">
                  <c:v>1.7691130551697905E-2</c:v>
                </c:pt>
                <c:pt idx="91">
                  <c:v>2.0649972136469404E-2</c:v>
                </c:pt>
                <c:pt idx="92">
                  <c:v>2.6094417563754413E-2</c:v>
                </c:pt>
                <c:pt idx="93">
                  <c:v>2.4391646248153528E-2</c:v>
                </c:pt>
                <c:pt idx="94">
                  <c:v>2.4904689034152702E-2</c:v>
                </c:pt>
                <c:pt idx="95">
                  <c:v>3.3874092223863631E-2</c:v>
                </c:pt>
                <c:pt idx="96">
                  <c:v>4.4112834030658833E-2</c:v>
                </c:pt>
                <c:pt idx="97">
                  <c:v>4.4678950208313056E-2</c:v>
                </c:pt>
                <c:pt idx="98">
                  <c:v>4.4227826379244765E-2</c:v>
                </c:pt>
                <c:pt idx="99">
                  <c:v>4.4785096991623349E-2</c:v>
                </c:pt>
                <c:pt idx="100">
                  <c:v>4.4939894383950664E-2</c:v>
                </c:pt>
                <c:pt idx="101">
                  <c:v>4.2379103236592407E-2</c:v>
                </c:pt>
                <c:pt idx="102">
                  <c:v>4.6934569353654497E-2</c:v>
                </c:pt>
                <c:pt idx="103">
                  <c:v>4.6027898912880102E-2</c:v>
                </c:pt>
                <c:pt idx="104">
                  <c:v>4.6638242916913528E-2</c:v>
                </c:pt>
                <c:pt idx="105">
                  <c:v>4.7951809360377205E-2</c:v>
                </c:pt>
                <c:pt idx="106">
                  <c:v>4.9835914764132933E-2</c:v>
                </c:pt>
                <c:pt idx="107">
                  <c:v>5.5501499323314364E-2</c:v>
                </c:pt>
                <c:pt idx="108">
                  <c:v>5.2967244871783628E-2</c:v>
                </c:pt>
                <c:pt idx="109">
                  <c:v>4.3966882203607158E-2</c:v>
                </c:pt>
                <c:pt idx="110">
                  <c:v>4.3524603939814707E-2</c:v>
                </c:pt>
                <c:pt idx="111">
                  <c:v>4.5461782735225678E-2</c:v>
                </c:pt>
                <c:pt idx="112">
                  <c:v>4.406860620427943E-2</c:v>
                </c:pt>
                <c:pt idx="113">
                  <c:v>5.3537783832075872E-2</c:v>
                </c:pt>
                <c:pt idx="114">
                  <c:v>5.158733668875104E-2</c:v>
                </c:pt>
                <c:pt idx="115">
                  <c:v>4.7690865184739598E-2</c:v>
                </c:pt>
                <c:pt idx="116">
                  <c:v>4.6465754394034525E-2</c:v>
                </c:pt>
                <c:pt idx="117">
                  <c:v>4.891597597544467E-2</c:v>
                </c:pt>
                <c:pt idx="118">
                  <c:v>4.8053533361049477E-2</c:v>
                </c:pt>
                <c:pt idx="119">
                  <c:v>4.8473697711652226E-2</c:v>
                </c:pt>
                <c:pt idx="120">
                  <c:v>4.7889890403446322E-2</c:v>
                </c:pt>
                <c:pt idx="121">
                  <c:v>4.8708105191462306E-2</c:v>
                </c:pt>
                <c:pt idx="122">
                  <c:v>4.034020044050917E-2</c:v>
                </c:pt>
                <c:pt idx="123">
                  <c:v>3.616509363030844E-2</c:v>
                </c:pt>
                <c:pt idx="124">
                  <c:v>3.5634359713757578E-2</c:v>
                </c:pt>
                <c:pt idx="125">
                  <c:v>3.8765689821408079E-2</c:v>
                </c:pt>
                <c:pt idx="126">
                  <c:v>3.7934206685478228E-2</c:v>
                </c:pt>
                <c:pt idx="127">
                  <c:v>3.3874092223863631E-2</c:v>
                </c:pt>
                <c:pt idx="128">
                  <c:v>3.1300032728591512E-2</c:v>
                </c:pt>
                <c:pt idx="129">
                  <c:v>3.4365021096673103E-2</c:v>
                </c:pt>
                <c:pt idx="130">
                  <c:v>3.275512821646865E-2</c:v>
                </c:pt>
                <c:pt idx="131">
                  <c:v>2.6417280696322907E-2</c:v>
                </c:pt>
                <c:pt idx="132">
                  <c:v>1.4612873835702455E-2</c:v>
                </c:pt>
                <c:pt idx="133">
                  <c:v>1.5280714014029147E-2</c:v>
                </c:pt>
                <c:pt idx="134">
                  <c:v>1.2994135390222161E-2</c:v>
                </c:pt>
                <c:pt idx="135">
                  <c:v>6.0149843875772482E-3</c:v>
                </c:pt>
                <c:pt idx="136">
                  <c:v>-4.3697092462694313E-3</c:v>
                </c:pt>
                <c:pt idx="137">
                  <c:v>5.7009668202845937E-3</c:v>
                </c:pt>
                <c:pt idx="138">
                  <c:v>6.3334247375079226E-3</c:v>
                </c:pt>
                <c:pt idx="139">
                  <c:v>1.0703133983777555E-3</c:v>
                </c:pt>
                <c:pt idx="140">
                  <c:v>-2.728856887599434E-3</c:v>
                </c:pt>
                <c:pt idx="141">
                  <c:v>-6.4174576076283111E-3</c:v>
                </c:pt>
                <c:pt idx="142">
                  <c:v>-1.8748175602161798E-2</c:v>
                </c:pt>
                <c:pt idx="143">
                  <c:v>-2.7726424357148567E-2</c:v>
                </c:pt>
                <c:pt idx="144">
                  <c:v>-2.9265552715146293E-2</c:v>
                </c:pt>
                <c:pt idx="145">
                  <c:v>-3.5178813102051273E-2</c:v>
                </c:pt>
                <c:pt idx="146">
                  <c:v>-3.5868767193567463E-2</c:v>
                </c:pt>
                <c:pt idx="147">
                  <c:v>-3.7766140945237052E-2</c:v>
                </c:pt>
                <c:pt idx="148">
                  <c:v>-3.7912092772288526E-2</c:v>
                </c:pt>
                <c:pt idx="149">
                  <c:v>-4.0114638525974924E-2</c:v>
                </c:pt>
                <c:pt idx="150">
                  <c:v>-4.1052268445215062E-2</c:v>
                </c:pt>
                <c:pt idx="151">
                  <c:v>-3.9561790696234361E-2</c:v>
                </c:pt>
                <c:pt idx="152">
                  <c:v>-4.0919584966077248E-2</c:v>
                </c:pt>
                <c:pt idx="153">
                  <c:v>-4.9645735110702249E-2</c:v>
                </c:pt>
                <c:pt idx="154">
                  <c:v>-4.6147314044104056E-2</c:v>
                </c:pt>
                <c:pt idx="155">
                  <c:v>-4.667362517801709E-2</c:v>
                </c:pt>
                <c:pt idx="156">
                  <c:v>-4.6602860655810159E-2</c:v>
                </c:pt>
                <c:pt idx="157">
                  <c:v>-4.7841239794429093E-2</c:v>
                </c:pt>
                <c:pt idx="158">
                  <c:v>-4.2812535935109017E-2</c:v>
                </c:pt>
                <c:pt idx="159">
                  <c:v>-4.0406542180078074E-2</c:v>
                </c:pt>
                <c:pt idx="160">
                  <c:v>-4.7956232143015025E-2</c:v>
                </c:pt>
                <c:pt idx="161">
                  <c:v>-4.9999557721736289E-2</c:v>
                </c:pt>
                <c:pt idx="162">
                  <c:v>-5.1720020167888854E-2</c:v>
                </c:pt>
                <c:pt idx="163">
                  <c:v>-4.6700161873844612E-2</c:v>
                </c:pt>
                <c:pt idx="164">
                  <c:v>-4.6992065527947567E-2</c:v>
                </c:pt>
                <c:pt idx="165">
                  <c:v>-4.8057956143687297E-2</c:v>
                </c:pt>
                <c:pt idx="166">
                  <c:v>-6.6983043051366112E-2</c:v>
                </c:pt>
                <c:pt idx="167">
                  <c:v>-7.0574342553360939E-2</c:v>
                </c:pt>
                <c:pt idx="168">
                  <c:v>-7.1029889165067056E-2</c:v>
                </c:pt>
                <c:pt idx="169">
                  <c:v>-7.3829510574873219E-2</c:v>
                </c:pt>
                <c:pt idx="170">
                  <c:v>-6.9424419067500423E-2</c:v>
                </c:pt>
                <c:pt idx="171">
                  <c:v>-7.3559720833959966E-2</c:v>
                </c:pt>
                <c:pt idx="172">
                  <c:v>-7.6067438589662972E-2</c:v>
                </c:pt>
                <c:pt idx="173">
                  <c:v>-7.6350496678490282E-2</c:v>
                </c:pt>
                <c:pt idx="174">
                  <c:v>-7.9539322960433853E-2</c:v>
                </c:pt>
                <c:pt idx="175">
                  <c:v>-8.2966979504825317E-2</c:v>
                </c:pt>
                <c:pt idx="176">
                  <c:v>-8.426727760037514E-2</c:v>
                </c:pt>
                <c:pt idx="177">
                  <c:v>-8.8039911190524608E-2</c:v>
                </c:pt>
                <c:pt idx="178">
                  <c:v>-9.3692227401792172E-2</c:v>
                </c:pt>
                <c:pt idx="179">
                  <c:v>-9.8092896126526954E-2</c:v>
                </c:pt>
                <c:pt idx="180">
                  <c:v>-9.8163660648733775E-2</c:v>
                </c:pt>
              </c:numCache>
            </c:numRef>
          </c:val>
        </c:ser>
        <c:ser>
          <c:idx val="2"/>
          <c:order val="1"/>
          <c:tx>
            <c:strRef>
              <c:f>'Top-15 Index 2015'!$N$1</c:f>
              <c:strCache>
                <c:ptCount val="1"/>
                <c:pt idx="0">
                  <c:v>GSE-FSI YTD</c:v>
                </c:pt>
              </c:strCache>
            </c:strRef>
          </c:tx>
          <c:spPr>
            <a:ln w="19050">
              <a:noFill/>
            </a:ln>
          </c:spPr>
          <c:invertIfNegative val="0"/>
          <c:cat>
            <c:numRef>
              <c:f>'Top-15 Index 2015'!$A$3:$A$183</c:f>
              <c:numCache>
                <c:formatCode>[$-409]d\-mmm\-yy;@</c:formatCode>
                <c:ptCount val="181"/>
                <c:pt idx="0">
                  <c:v>42006</c:v>
                </c:pt>
                <c:pt idx="1">
                  <c:v>42009</c:v>
                </c:pt>
                <c:pt idx="2">
                  <c:v>42010</c:v>
                </c:pt>
                <c:pt idx="3">
                  <c:v>42011</c:v>
                </c:pt>
                <c:pt idx="4">
                  <c:v>42012</c:v>
                </c:pt>
                <c:pt idx="5">
                  <c:v>42013</c:v>
                </c:pt>
                <c:pt idx="6">
                  <c:v>42016</c:v>
                </c:pt>
                <c:pt idx="7">
                  <c:v>42017</c:v>
                </c:pt>
                <c:pt idx="8">
                  <c:v>42018</c:v>
                </c:pt>
                <c:pt idx="9">
                  <c:v>42019</c:v>
                </c:pt>
                <c:pt idx="10">
                  <c:v>42020</c:v>
                </c:pt>
                <c:pt idx="11">
                  <c:v>42023</c:v>
                </c:pt>
                <c:pt idx="12">
                  <c:v>42024</c:v>
                </c:pt>
                <c:pt idx="13">
                  <c:v>42025</c:v>
                </c:pt>
                <c:pt idx="14">
                  <c:v>42026</c:v>
                </c:pt>
                <c:pt idx="15">
                  <c:v>42027</c:v>
                </c:pt>
                <c:pt idx="16">
                  <c:v>42030</c:v>
                </c:pt>
                <c:pt idx="17">
                  <c:v>42031</c:v>
                </c:pt>
                <c:pt idx="18">
                  <c:v>42032</c:v>
                </c:pt>
                <c:pt idx="19">
                  <c:v>42033</c:v>
                </c:pt>
                <c:pt idx="20">
                  <c:v>42034</c:v>
                </c:pt>
                <c:pt idx="21">
                  <c:v>42037</c:v>
                </c:pt>
                <c:pt idx="22">
                  <c:v>42038</c:v>
                </c:pt>
                <c:pt idx="23">
                  <c:v>42039</c:v>
                </c:pt>
                <c:pt idx="24">
                  <c:v>42040</c:v>
                </c:pt>
                <c:pt idx="25">
                  <c:v>42041</c:v>
                </c:pt>
                <c:pt idx="26">
                  <c:v>42044</c:v>
                </c:pt>
                <c:pt idx="27">
                  <c:v>42045</c:v>
                </c:pt>
                <c:pt idx="28">
                  <c:v>42046</c:v>
                </c:pt>
                <c:pt idx="29">
                  <c:v>42047</c:v>
                </c:pt>
                <c:pt idx="30">
                  <c:v>42048</c:v>
                </c:pt>
                <c:pt idx="31">
                  <c:v>42051</c:v>
                </c:pt>
                <c:pt idx="32">
                  <c:v>42052</c:v>
                </c:pt>
                <c:pt idx="33">
                  <c:v>42053</c:v>
                </c:pt>
                <c:pt idx="34">
                  <c:v>42054</c:v>
                </c:pt>
                <c:pt idx="35">
                  <c:v>42055</c:v>
                </c:pt>
                <c:pt idx="36">
                  <c:v>42058</c:v>
                </c:pt>
                <c:pt idx="37">
                  <c:v>42059</c:v>
                </c:pt>
                <c:pt idx="38">
                  <c:v>42060</c:v>
                </c:pt>
                <c:pt idx="39">
                  <c:v>42061</c:v>
                </c:pt>
                <c:pt idx="40">
                  <c:v>42062</c:v>
                </c:pt>
                <c:pt idx="41">
                  <c:v>42065</c:v>
                </c:pt>
                <c:pt idx="42">
                  <c:v>42066</c:v>
                </c:pt>
                <c:pt idx="43">
                  <c:v>42067</c:v>
                </c:pt>
                <c:pt idx="44">
                  <c:v>42068</c:v>
                </c:pt>
                <c:pt idx="45">
                  <c:v>42072</c:v>
                </c:pt>
                <c:pt idx="46">
                  <c:v>42073</c:v>
                </c:pt>
                <c:pt idx="47">
                  <c:v>42074</c:v>
                </c:pt>
                <c:pt idx="48">
                  <c:v>42075</c:v>
                </c:pt>
                <c:pt idx="49">
                  <c:v>42076</c:v>
                </c:pt>
                <c:pt idx="50">
                  <c:v>42079</c:v>
                </c:pt>
                <c:pt idx="51">
                  <c:v>42080</c:v>
                </c:pt>
                <c:pt idx="52">
                  <c:v>42081</c:v>
                </c:pt>
                <c:pt idx="53">
                  <c:v>42082</c:v>
                </c:pt>
                <c:pt idx="54">
                  <c:v>42083</c:v>
                </c:pt>
                <c:pt idx="55">
                  <c:v>42086</c:v>
                </c:pt>
                <c:pt idx="56">
                  <c:v>42087</c:v>
                </c:pt>
                <c:pt idx="57">
                  <c:v>42088</c:v>
                </c:pt>
                <c:pt idx="58">
                  <c:v>42089</c:v>
                </c:pt>
                <c:pt idx="59">
                  <c:v>42090</c:v>
                </c:pt>
                <c:pt idx="60">
                  <c:v>42093</c:v>
                </c:pt>
                <c:pt idx="61">
                  <c:v>42094</c:v>
                </c:pt>
                <c:pt idx="62">
                  <c:v>42095</c:v>
                </c:pt>
                <c:pt idx="63">
                  <c:v>42096</c:v>
                </c:pt>
                <c:pt idx="64">
                  <c:v>42101</c:v>
                </c:pt>
                <c:pt idx="65">
                  <c:v>42102</c:v>
                </c:pt>
                <c:pt idx="66">
                  <c:v>42103</c:v>
                </c:pt>
                <c:pt idx="67">
                  <c:v>42104</c:v>
                </c:pt>
                <c:pt idx="68">
                  <c:v>42107</c:v>
                </c:pt>
                <c:pt idx="69">
                  <c:v>42108</c:v>
                </c:pt>
                <c:pt idx="70">
                  <c:v>42109</c:v>
                </c:pt>
                <c:pt idx="71">
                  <c:v>42110</c:v>
                </c:pt>
                <c:pt idx="72">
                  <c:v>42111</c:v>
                </c:pt>
                <c:pt idx="73">
                  <c:v>42114</c:v>
                </c:pt>
                <c:pt idx="74">
                  <c:v>42115</c:v>
                </c:pt>
                <c:pt idx="75">
                  <c:v>42116</c:v>
                </c:pt>
                <c:pt idx="76">
                  <c:v>42117</c:v>
                </c:pt>
                <c:pt idx="77">
                  <c:v>42118</c:v>
                </c:pt>
                <c:pt idx="78">
                  <c:v>42121</c:v>
                </c:pt>
                <c:pt idx="79">
                  <c:v>42122</c:v>
                </c:pt>
                <c:pt idx="80">
                  <c:v>42123</c:v>
                </c:pt>
                <c:pt idx="81">
                  <c:v>42124</c:v>
                </c:pt>
                <c:pt idx="82">
                  <c:v>42128</c:v>
                </c:pt>
                <c:pt idx="83">
                  <c:v>42129</c:v>
                </c:pt>
                <c:pt idx="84">
                  <c:v>42130</c:v>
                </c:pt>
                <c:pt idx="85">
                  <c:v>42131</c:v>
                </c:pt>
                <c:pt idx="86">
                  <c:v>42132</c:v>
                </c:pt>
                <c:pt idx="87">
                  <c:v>42135</c:v>
                </c:pt>
                <c:pt idx="88">
                  <c:v>42136</c:v>
                </c:pt>
                <c:pt idx="89">
                  <c:v>42137</c:v>
                </c:pt>
                <c:pt idx="90">
                  <c:v>42138</c:v>
                </c:pt>
                <c:pt idx="91">
                  <c:v>42139</c:v>
                </c:pt>
                <c:pt idx="92">
                  <c:v>42142</c:v>
                </c:pt>
                <c:pt idx="93">
                  <c:v>42143</c:v>
                </c:pt>
                <c:pt idx="94">
                  <c:v>42144</c:v>
                </c:pt>
                <c:pt idx="95">
                  <c:v>42145</c:v>
                </c:pt>
                <c:pt idx="96">
                  <c:v>42146</c:v>
                </c:pt>
                <c:pt idx="97">
                  <c:v>42150</c:v>
                </c:pt>
                <c:pt idx="98">
                  <c:v>42151</c:v>
                </c:pt>
                <c:pt idx="99">
                  <c:v>42152</c:v>
                </c:pt>
                <c:pt idx="100">
                  <c:v>42153</c:v>
                </c:pt>
                <c:pt idx="101">
                  <c:v>42156</c:v>
                </c:pt>
                <c:pt idx="102">
                  <c:v>42157</c:v>
                </c:pt>
                <c:pt idx="103">
                  <c:v>42158</c:v>
                </c:pt>
                <c:pt idx="104">
                  <c:v>42159</c:v>
                </c:pt>
                <c:pt idx="105">
                  <c:v>42160</c:v>
                </c:pt>
                <c:pt idx="106">
                  <c:v>42163</c:v>
                </c:pt>
                <c:pt idx="107">
                  <c:v>42164</c:v>
                </c:pt>
                <c:pt idx="108">
                  <c:v>42165</c:v>
                </c:pt>
                <c:pt idx="109">
                  <c:v>42166</c:v>
                </c:pt>
                <c:pt idx="110">
                  <c:v>42167</c:v>
                </c:pt>
                <c:pt idx="111">
                  <c:v>42170</c:v>
                </c:pt>
                <c:pt idx="112">
                  <c:v>42171</c:v>
                </c:pt>
                <c:pt idx="113">
                  <c:v>42172</c:v>
                </c:pt>
                <c:pt idx="114">
                  <c:v>42173</c:v>
                </c:pt>
                <c:pt idx="115">
                  <c:v>42174</c:v>
                </c:pt>
                <c:pt idx="116">
                  <c:v>42177</c:v>
                </c:pt>
                <c:pt idx="117">
                  <c:v>42178</c:v>
                </c:pt>
                <c:pt idx="118">
                  <c:v>42179</c:v>
                </c:pt>
                <c:pt idx="119">
                  <c:v>42180</c:v>
                </c:pt>
                <c:pt idx="120">
                  <c:v>42181</c:v>
                </c:pt>
                <c:pt idx="121">
                  <c:v>42184</c:v>
                </c:pt>
                <c:pt idx="122">
                  <c:v>42185</c:v>
                </c:pt>
                <c:pt idx="123">
                  <c:v>42187</c:v>
                </c:pt>
                <c:pt idx="124">
                  <c:v>42188</c:v>
                </c:pt>
                <c:pt idx="125">
                  <c:v>42191</c:v>
                </c:pt>
                <c:pt idx="126">
                  <c:v>42192</c:v>
                </c:pt>
                <c:pt idx="127">
                  <c:v>42193</c:v>
                </c:pt>
                <c:pt idx="128">
                  <c:v>42194</c:v>
                </c:pt>
                <c:pt idx="129">
                  <c:v>42195</c:v>
                </c:pt>
                <c:pt idx="130">
                  <c:v>42198</c:v>
                </c:pt>
                <c:pt idx="131">
                  <c:v>42199</c:v>
                </c:pt>
                <c:pt idx="132">
                  <c:v>42200</c:v>
                </c:pt>
                <c:pt idx="133">
                  <c:v>42201</c:v>
                </c:pt>
                <c:pt idx="134">
                  <c:v>42202</c:v>
                </c:pt>
                <c:pt idx="135">
                  <c:v>42206</c:v>
                </c:pt>
                <c:pt idx="136">
                  <c:v>42207</c:v>
                </c:pt>
                <c:pt idx="137">
                  <c:v>42208</c:v>
                </c:pt>
                <c:pt idx="138">
                  <c:v>42209</c:v>
                </c:pt>
                <c:pt idx="139">
                  <c:v>42212</c:v>
                </c:pt>
                <c:pt idx="140">
                  <c:v>42213</c:v>
                </c:pt>
                <c:pt idx="141">
                  <c:v>42214</c:v>
                </c:pt>
                <c:pt idx="142">
                  <c:v>42215</c:v>
                </c:pt>
                <c:pt idx="143">
                  <c:v>42216</c:v>
                </c:pt>
                <c:pt idx="144">
                  <c:v>42219</c:v>
                </c:pt>
                <c:pt idx="145">
                  <c:v>42220</c:v>
                </c:pt>
                <c:pt idx="146">
                  <c:v>42221</c:v>
                </c:pt>
                <c:pt idx="147">
                  <c:v>42222</c:v>
                </c:pt>
                <c:pt idx="148">
                  <c:v>42223</c:v>
                </c:pt>
                <c:pt idx="149">
                  <c:v>42226</c:v>
                </c:pt>
                <c:pt idx="150">
                  <c:v>42227</c:v>
                </c:pt>
                <c:pt idx="151">
                  <c:v>42228</c:v>
                </c:pt>
                <c:pt idx="152">
                  <c:v>42229</c:v>
                </c:pt>
                <c:pt idx="153">
                  <c:v>42230</c:v>
                </c:pt>
                <c:pt idx="154">
                  <c:v>42233</c:v>
                </c:pt>
                <c:pt idx="155">
                  <c:v>42234</c:v>
                </c:pt>
                <c:pt idx="156">
                  <c:v>42235</c:v>
                </c:pt>
                <c:pt idx="157">
                  <c:v>42236</c:v>
                </c:pt>
                <c:pt idx="158">
                  <c:v>42237</c:v>
                </c:pt>
                <c:pt idx="159">
                  <c:v>42240</c:v>
                </c:pt>
                <c:pt idx="160">
                  <c:v>42241</c:v>
                </c:pt>
                <c:pt idx="161">
                  <c:v>42242</c:v>
                </c:pt>
                <c:pt idx="162">
                  <c:v>42243</c:v>
                </c:pt>
                <c:pt idx="163">
                  <c:v>42244</c:v>
                </c:pt>
                <c:pt idx="164">
                  <c:v>42247</c:v>
                </c:pt>
                <c:pt idx="165">
                  <c:v>42248</c:v>
                </c:pt>
                <c:pt idx="166">
                  <c:v>42249</c:v>
                </c:pt>
                <c:pt idx="167">
                  <c:v>42250</c:v>
                </c:pt>
                <c:pt idx="168">
                  <c:v>42251</c:v>
                </c:pt>
                <c:pt idx="169">
                  <c:v>42254</c:v>
                </c:pt>
                <c:pt idx="170">
                  <c:v>42255</c:v>
                </c:pt>
                <c:pt idx="171">
                  <c:v>42256</c:v>
                </c:pt>
                <c:pt idx="172">
                  <c:v>42257</c:v>
                </c:pt>
                <c:pt idx="173">
                  <c:v>42258</c:v>
                </c:pt>
                <c:pt idx="174">
                  <c:v>42261</c:v>
                </c:pt>
                <c:pt idx="175">
                  <c:v>42262</c:v>
                </c:pt>
                <c:pt idx="176">
                  <c:v>42263</c:v>
                </c:pt>
                <c:pt idx="177">
                  <c:v>42264</c:v>
                </c:pt>
                <c:pt idx="178">
                  <c:v>42265</c:v>
                </c:pt>
                <c:pt idx="179">
                  <c:v>42269</c:v>
                </c:pt>
                <c:pt idx="180">
                  <c:v>42270</c:v>
                </c:pt>
              </c:numCache>
            </c:numRef>
          </c:cat>
          <c:val>
            <c:numRef>
              <c:f>'Top-15 Index 2015'!$N$4:$N$183</c:f>
              <c:numCache>
                <c:formatCode>0.00%</c:formatCode>
                <c:ptCount val="180"/>
                <c:pt idx="0">
                  <c:v>1.3981806269304675E-2</c:v>
                </c:pt>
                <c:pt idx="1">
                  <c:v>9.2617766744069741E-3</c:v>
                </c:pt>
                <c:pt idx="2">
                  <c:v>8.0806550099616903E-3</c:v>
                </c:pt>
                <c:pt idx="3">
                  <c:v>6.7479932074361315E-3</c:v>
                </c:pt>
                <c:pt idx="4">
                  <c:v>9.0032670270945303E-4</c:v>
                </c:pt>
                <c:pt idx="5">
                  <c:v>5.9724642654979121E-4</c:v>
                </c:pt>
                <c:pt idx="6">
                  <c:v>3.7885034519957728E-4</c:v>
                </c:pt>
                <c:pt idx="7">
                  <c:v>-1.665604400012477E-2</c:v>
                </c:pt>
                <c:pt idx="8">
                  <c:v>-1.6624844559931962E-2</c:v>
                </c:pt>
                <c:pt idx="9">
                  <c:v>-1.3589584735451132E-2</c:v>
                </c:pt>
                <c:pt idx="10">
                  <c:v>-1.8599323417854086E-2</c:v>
                </c:pt>
                <c:pt idx="11">
                  <c:v>-2.0591630527315274E-2</c:v>
                </c:pt>
                <c:pt idx="12">
                  <c:v>-2.3435236647753821E-2</c:v>
                </c:pt>
                <c:pt idx="13">
                  <c:v>-2.8373662324001847E-2</c:v>
                </c:pt>
                <c:pt idx="14">
                  <c:v>-4.0055624144801016E-2</c:v>
                </c:pt>
                <c:pt idx="15">
                  <c:v>-4.033641910653718E-2</c:v>
                </c:pt>
                <c:pt idx="16">
                  <c:v>-5.2473001341575953E-2</c:v>
                </c:pt>
                <c:pt idx="17">
                  <c:v>-5.1095768910203732E-2</c:v>
                </c:pt>
                <c:pt idx="18">
                  <c:v>-5.4019602162567071E-2</c:v>
                </c:pt>
                <c:pt idx="19">
                  <c:v>-4.6117229667993476E-2</c:v>
                </c:pt>
                <c:pt idx="20">
                  <c:v>-5.9742470906521961E-2</c:v>
                </c:pt>
                <c:pt idx="21">
                  <c:v>-6.782312591648354E-2</c:v>
                </c:pt>
                <c:pt idx="22">
                  <c:v>-6.2924813806198077E-2</c:v>
                </c:pt>
                <c:pt idx="23">
                  <c:v>-6.5746134612213347E-2</c:v>
                </c:pt>
                <c:pt idx="24">
                  <c:v>-6.0740852992694938E-2</c:v>
                </c:pt>
                <c:pt idx="25">
                  <c:v>-5.7045947861278479E-2</c:v>
                </c:pt>
                <c:pt idx="26">
                  <c:v>-5.640413080588158E-2</c:v>
                </c:pt>
                <c:pt idx="27">
                  <c:v>-5.0685719124811235E-2</c:v>
                </c:pt>
                <c:pt idx="28">
                  <c:v>-5.1389935060593861E-2</c:v>
                </c:pt>
                <c:pt idx="29">
                  <c:v>-5.0970971149432054E-2</c:v>
                </c:pt>
                <c:pt idx="30">
                  <c:v>-4.8778096210159494E-2</c:v>
                </c:pt>
                <c:pt idx="31">
                  <c:v>-4.9718536478831288E-2</c:v>
                </c:pt>
                <c:pt idx="32">
                  <c:v>-4.7837655941487589E-2</c:v>
                </c:pt>
                <c:pt idx="33">
                  <c:v>-4.8105079714569787E-2</c:v>
                </c:pt>
                <c:pt idx="34">
                  <c:v>-4.6839273855314834E-2</c:v>
                </c:pt>
                <c:pt idx="35">
                  <c:v>-4.5274844782784984E-2</c:v>
                </c:pt>
                <c:pt idx="36">
                  <c:v>-4.4280919759496884E-2</c:v>
                </c:pt>
                <c:pt idx="37">
                  <c:v>-4.1936504682144604E-2</c:v>
                </c:pt>
                <c:pt idx="38">
                  <c:v>-4.5399642543556662E-2</c:v>
                </c:pt>
                <c:pt idx="39">
                  <c:v>-3.6004153982608589E-2</c:v>
                </c:pt>
                <c:pt idx="40">
                  <c:v>-3.5357879864326924E-2</c:v>
                </c:pt>
                <c:pt idx="41">
                  <c:v>-3.3668653031025619E-2</c:v>
                </c:pt>
                <c:pt idx="42">
                  <c:v>-3.4181215262766185E-2</c:v>
                </c:pt>
                <c:pt idx="43">
                  <c:v>-3.633843369896117E-2</c:v>
                </c:pt>
                <c:pt idx="44">
                  <c:v>-3.3102606044668637E-2</c:v>
                </c:pt>
                <c:pt idx="45">
                  <c:v>-3.4150015822573154E-2</c:v>
                </c:pt>
                <c:pt idx="46">
                  <c:v>-3.3289802685826153E-2</c:v>
                </c:pt>
                <c:pt idx="47">
                  <c:v>-3.1279667324826455E-2</c:v>
                </c:pt>
                <c:pt idx="48">
                  <c:v>-2.6760205559740236E-2</c:v>
                </c:pt>
                <c:pt idx="49">
                  <c:v>-2.5173491172786999E-2</c:v>
                </c:pt>
                <c:pt idx="50">
                  <c:v>-2.3248040006596637E-2</c:v>
                </c:pt>
                <c:pt idx="51">
                  <c:v>-2.959935461729446E-2</c:v>
                </c:pt>
                <c:pt idx="52">
                  <c:v>-2.3395123081791702E-2</c:v>
                </c:pt>
                <c:pt idx="53">
                  <c:v>-2.6140673818766946E-2</c:v>
                </c:pt>
                <c:pt idx="54">
                  <c:v>-2.4050311325842566E-2</c:v>
                </c:pt>
                <c:pt idx="55">
                  <c:v>-2.434002041334804E-2</c:v>
                </c:pt>
                <c:pt idx="56">
                  <c:v>-1.8006534054189061E-2</c:v>
                </c:pt>
                <c:pt idx="57">
                  <c:v>-1.8006534054189061E-2</c:v>
                </c:pt>
                <c:pt idx="58">
                  <c:v>-1.4235858853732575E-2</c:v>
                </c:pt>
                <c:pt idx="59">
                  <c:v>-1.23326930019656E-2</c:v>
                </c:pt>
                <c:pt idx="60">
                  <c:v>-9.5737710763361683E-3</c:v>
                </c:pt>
                <c:pt idx="61">
                  <c:v>-5.2994477699087605E-3</c:v>
                </c:pt>
                <c:pt idx="62">
                  <c:v>-5.2994477699087605E-3</c:v>
                </c:pt>
                <c:pt idx="63">
                  <c:v>-9.3553749949859544E-3</c:v>
                </c:pt>
                <c:pt idx="64">
                  <c:v>-1.3148335509867159E-3</c:v>
                </c:pt>
                <c:pt idx="65">
                  <c:v>-4.8626556072081106E-3</c:v>
                </c:pt>
                <c:pt idx="66">
                  <c:v>-2.0591630527314608E-3</c:v>
                </c:pt>
                <c:pt idx="67">
                  <c:v>-2.4513845865851147E-3</c:v>
                </c:pt>
                <c:pt idx="68">
                  <c:v>2.9639468183257911E-3</c:v>
                </c:pt>
                <c:pt idx="69">
                  <c:v>2.4825840267779231E-3</c:v>
                </c:pt>
                <c:pt idx="70">
                  <c:v>2.1206705205403686E-2</c:v>
                </c:pt>
                <c:pt idx="71">
                  <c:v>2.3239125880827105E-2</c:v>
                </c:pt>
                <c:pt idx="72">
                  <c:v>1.0055133867883814E-2</c:v>
                </c:pt>
                <c:pt idx="73">
                  <c:v>1.0540953722316004E-2</c:v>
                </c:pt>
                <c:pt idx="74">
                  <c:v>1.08395769355909E-2</c:v>
                </c:pt>
                <c:pt idx="75">
                  <c:v>1.5876057995302117E-2</c:v>
                </c:pt>
                <c:pt idx="76">
                  <c:v>1.6598102182623586E-2</c:v>
                </c:pt>
                <c:pt idx="77">
                  <c:v>1.3950606829111534E-2</c:v>
                </c:pt>
                <c:pt idx="78">
                  <c:v>1.917428452998049E-2</c:v>
                </c:pt>
                <c:pt idx="79">
                  <c:v>2.1451843664062276E-2</c:v>
                </c:pt>
                <c:pt idx="80">
                  <c:v>2.4063682514496421E-2</c:v>
                </c:pt>
                <c:pt idx="81">
                  <c:v>2.3176727000441266E-2</c:v>
                </c:pt>
                <c:pt idx="82">
                  <c:v>2.3176727000441266E-2</c:v>
                </c:pt>
                <c:pt idx="83">
                  <c:v>3.4479838476040969E-2</c:v>
                </c:pt>
                <c:pt idx="84">
                  <c:v>2.5124463481055237E-2</c:v>
                </c:pt>
                <c:pt idx="85">
                  <c:v>2.4527217054505224E-2</c:v>
                </c:pt>
                <c:pt idx="86">
                  <c:v>3.3824650231990105E-2</c:v>
                </c:pt>
                <c:pt idx="87">
                  <c:v>3.7051563760513107E-2</c:v>
                </c:pt>
                <c:pt idx="88">
                  <c:v>4.019379309422666E-2</c:v>
                </c:pt>
                <c:pt idx="89">
                  <c:v>4.019379309422666E-2</c:v>
                </c:pt>
                <c:pt idx="90">
                  <c:v>4.5359528977594321E-2</c:v>
                </c:pt>
                <c:pt idx="91">
                  <c:v>5.3239616157744196E-2</c:v>
                </c:pt>
                <c:pt idx="92">
                  <c:v>5.0788231571159193E-2</c:v>
                </c:pt>
                <c:pt idx="93">
                  <c:v>5.3810120206986056E-2</c:v>
                </c:pt>
                <c:pt idx="94">
                  <c:v>6.6356752227417326E-2</c:v>
                </c:pt>
                <c:pt idx="95">
                  <c:v>8.0597068144034445E-2</c:v>
                </c:pt>
                <c:pt idx="96">
                  <c:v>8.0592611081149679E-2</c:v>
                </c:pt>
                <c:pt idx="97">
                  <c:v>7.9701198504209536E-2</c:v>
                </c:pt>
                <c:pt idx="98">
                  <c:v>7.964771374959323E-2</c:v>
                </c:pt>
                <c:pt idx="99">
                  <c:v>7.7138387345506931E-2</c:v>
                </c:pt>
                <c:pt idx="100">
                  <c:v>7.3701991861403027E-2</c:v>
                </c:pt>
                <c:pt idx="101">
                  <c:v>8.0088962975178646E-2</c:v>
                </c:pt>
                <c:pt idx="102">
                  <c:v>7.8671616977843861E-2</c:v>
                </c:pt>
                <c:pt idx="103">
                  <c:v>7.8368536701684199E-2</c:v>
                </c:pt>
                <c:pt idx="104">
                  <c:v>7.987948101959752E-2</c:v>
                </c:pt>
                <c:pt idx="105">
                  <c:v>8.1956472323868157E-2</c:v>
                </c:pt>
                <c:pt idx="106">
                  <c:v>8.7478773238011565E-2</c:v>
                </c:pt>
                <c:pt idx="107">
                  <c:v>8.3204449931584046E-2</c:v>
                </c:pt>
                <c:pt idx="108">
                  <c:v>7.0653360848268232E-2</c:v>
                </c:pt>
                <c:pt idx="109">
                  <c:v>7.5600700650285457E-2</c:v>
                </c:pt>
                <c:pt idx="110">
                  <c:v>7.829722369552905E-2</c:v>
                </c:pt>
                <c:pt idx="111">
                  <c:v>7.5975093932600268E-2</c:v>
                </c:pt>
                <c:pt idx="112">
                  <c:v>9.0282265792487992E-2</c:v>
                </c:pt>
                <c:pt idx="113">
                  <c:v>8.7282662471084738E-2</c:v>
                </c:pt>
                <c:pt idx="114">
                  <c:v>8.0137990666910186E-2</c:v>
                </c:pt>
                <c:pt idx="115">
                  <c:v>7.8876641870539999E-2</c:v>
                </c:pt>
                <c:pt idx="116">
                  <c:v>8.0129076541140876E-2</c:v>
                </c:pt>
                <c:pt idx="117">
                  <c:v>7.921983571266189E-2</c:v>
                </c:pt>
                <c:pt idx="118">
                  <c:v>7.9803710950557605E-2</c:v>
                </c:pt>
                <c:pt idx="119">
                  <c:v>7.8992525505542366E-2</c:v>
                </c:pt>
                <c:pt idx="120">
                  <c:v>7.8992525505542366E-2</c:v>
                </c:pt>
                <c:pt idx="121">
                  <c:v>6.732393487339694E-2</c:v>
                </c:pt>
                <c:pt idx="122">
                  <c:v>6.1503010745978415E-2</c:v>
                </c:pt>
                <c:pt idx="123">
                  <c:v>6.0522456911344502E-2</c:v>
                </c:pt>
                <c:pt idx="124">
                  <c:v>6.4890378538350557E-2</c:v>
                </c:pt>
                <c:pt idx="125">
                  <c:v>6.3593373238902906E-2</c:v>
                </c:pt>
                <c:pt idx="126">
                  <c:v>5.5909396825679858E-2</c:v>
                </c:pt>
                <c:pt idx="127">
                  <c:v>5.4411823696420392E-2</c:v>
                </c:pt>
                <c:pt idx="128">
                  <c:v>5.8686147002848132E-2</c:v>
                </c:pt>
                <c:pt idx="129">
                  <c:v>5.9105110914009718E-2</c:v>
                </c:pt>
                <c:pt idx="130">
                  <c:v>5.0141957452877639E-2</c:v>
                </c:pt>
                <c:pt idx="131">
                  <c:v>4.3206767604284213E-2</c:v>
                </c:pt>
                <c:pt idx="132">
                  <c:v>4.2876944950816176E-2</c:v>
                </c:pt>
                <c:pt idx="133">
                  <c:v>3.9329122894594892E-2</c:v>
                </c:pt>
                <c:pt idx="134">
                  <c:v>2.9594897554409583E-2</c:v>
                </c:pt>
                <c:pt idx="135">
                  <c:v>2.0168209553268479E-2</c:v>
                </c:pt>
                <c:pt idx="136">
                  <c:v>3.4203500577189461E-2</c:v>
                </c:pt>
                <c:pt idx="137">
                  <c:v>3.4020760998916932E-2</c:v>
                </c:pt>
                <c:pt idx="138">
                  <c:v>3.1239553758863892E-2</c:v>
                </c:pt>
                <c:pt idx="139">
                  <c:v>2.5659311027219189E-2</c:v>
                </c:pt>
                <c:pt idx="140">
                  <c:v>2.478572670181789E-2</c:v>
                </c:pt>
                <c:pt idx="141">
                  <c:v>1.2065269228883402E-2</c:v>
                </c:pt>
                <c:pt idx="142">
                  <c:v>-1.5733431982992707E-3</c:v>
                </c:pt>
                <c:pt idx="143">
                  <c:v>-4.0024424704607764E-3</c:v>
                </c:pt>
                <c:pt idx="144">
                  <c:v>-1.2243551744271719E-2</c:v>
                </c:pt>
                <c:pt idx="145">
                  <c:v>-1.3099307818134176E-2</c:v>
                </c:pt>
                <c:pt idx="146">
                  <c:v>-1.7048265533978424E-2</c:v>
                </c:pt>
                <c:pt idx="147">
                  <c:v>-1.7177520357634757E-2</c:v>
                </c:pt>
                <c:pt idx="148">
                  <c:v>-2.1300303525982445E-2</c:v>
                </c:pt>
                <c:pt idx="149">
                  <c:v>-2.3332724201405752E-2</c:v>
                </c:pt>
                <c:pt idx="150">
                  <c:v>-2.2352170366771729E-2</c:v>
                </c:pt>
                <c:pt idx="151">
                  <c:v>-2.5106635229516394E-2</c:v>
                </c:pt>
                <c:pt idx="152">
                  <c:v>-3.7474984734559569E-2</c:v>
                </c:pt>
                <c:pt idx="153">
                  <c:v>-3.3717680722757382E-2</c:v>
                </c:pt>
                <c:pt idx="154">
                  <c:v>-3.5598561260100747E-2</c:v>
                </c:pt>
                <c:pt idx="155">
                  <c:v>-3.619580768665065E-2</c:v>
                </c:pt>
                <c:pt idx="156">
                  <c:v>-4.3055227466204271E-2</c:v>
                </c:pt>
                <c:pt idx="157">
                  <c:v>-4.0866809589816477E-2</c:v>
                </c:pt>
                <c:pt idx="158">
                  <c:v>-4.5292673034323827E-2</c:v>
                </c:pt>
                <c:pt idx="159">
                  <c:v>-4.6866016232623098E-2</c:v>
                </c:pt>
                <c:pt idx="160">
                  <c:v>-4.9963674937489655E-2</c:v>
                </c:pt>
                <c:pt idx="161">
                  <c:v>-5.3364413918515985E-2</c:v>
                </c:pt>
                <c:pt idx="162">
                  <c:v>-4.636682518953672E-2</c:v>
                </c:pt>
                <c:pt idx="163">
                  <c:v>-4.6696647843004424E-2</c:v>
                </c:pt>
                <c:pt idx="164">
                  <c:v>-4.7610345734368065E-2</c:v>
                </c:pt>
                <c:pt idx="165">
                  <c:v>-7.0497363647303746E-2</c:v>
                </c:pt>
                <c:pt idx="166">
                  <c:v>-7.5230764430855301E-2</c:v>
                </c:pt>
                <c:pt idx="167">
                  <c:v>-7.3866903188137045E-2</c:v>
                </c:pt>
                <c:pt idx="168">
                  <c:v>-7.8408650267646651E-2</c:v>
                </c:pt>
                <c:pt idx="169">
                  <c:v>-7.8965783128234213E-2</c:v>
                </c:pt>
                <c:pt idx="170">
                  <c:v>-8.352535845928255E-2</c:v>
                </c:pt>
                <c:pt idx="171">
                  <c:v>-8.7148950584543861E-2</c:v>
                </c:pt>
                <c:pt idx="172">
                  <c:v>-8.6828042056845356E-2</c:v>
                </c:pt>
                <c:pt idx="173">
                  <c:v>-9.1962578500020098E-2</c:v>
                </c:pt>
                <c:pt idx="174">
                  <c:v>-9.5991763347789139E-2</c:v>
                </c:pt>
                <c:pt idx="175">
                  <c:v>-9.8220294790139273E-2</c:v>
                </c:pt>
                <c:pt idx="176">
                  <c:v>-0.10075636357153372</c:v>
                </c:pt>
                <c:pt idx="177">
                  <c:v>-0.10563239036739569</c:v>
                </c:pt>
                <c:pt idx="178">
                  <c:v>-0.11203718973271004</c:v>
                </c:pt>
                <c:pt idx="179">
                  <c:v>-0.11220655812232849</c:v>
                </c:pt>
              </c:numCache>
            </c:numRef>
          </c:val>
        </c:ser>
        <c:dLbls>
          <c:showLegendKey val="0"/>
          <c:showVal val="0"/>
          <c:showCatName val="0"/>
          <c:showSerName val="0"/>
          <c:showPercent val="0"/>
          <c:showBubbleSize val="0"/>
        </c:dLbls>
        <c:gapWidth val="150"/>
        <c:axId val="82047744"/>
        <c:axId val="82049280"/>
      </c:barChart>
      <c:lineChart>
        <c:grouping val="stacked"/>
        <c:varyColors val="0"/>
        <c:ser>
          <c:idx val="0"/>
          <c:order val="2"/>
          <c:tx>
            <c:strRef>
              <c:f>'Top-15 Index 2015'!$F$1</c:f>
              <c:strCache>
                <c:ptCount val="1"/>
                <c:pt idx="0">
                  <c:v>SIC-FSL 15 YTD Change</c:v>
                </c:pt>
              </c:strCache>
            </c:strRef>
          </c:tx>
          <c:marker>
            <c:symbol val="none"/>
          </c:marker>
          <c:val>
            <c:numRef>
              <c:f>'Top-15 Index 2015'!$F$3:$F$183</c:f>
              <c:numCache>
                <c:formatCode>0.00%</c:formatCode>
                <c:ptCount val="181"/>
                <c:pt idx="0">
                  <c:v>8.9149871330539299E-3</c:v>
                </c:pt>
                <c:pt idx="1">
                  <c:v>7.6853348415477692E-3</c:v>
                </c:pt>
                <c:pt idx="2">
                  <c:v>-5.6632345002465218E-3</c:v>
                </c:pt>
                <c:pt idx="3">
                  <c:v>-6.3129191801525545E-3</c:v>
                </c:pt>
                <c:pt idx="4">
                  <c:v>-7.0446777420772036E-3</c:v>
                </c:pt>
                <c:pt idx="5">
                  <c:v>-2.1326111855682783E-2</c:v>
                </c:pt>
                <c:pt idx="6">
                  <c:v>-2.1490993811068809E-2</c:v>
                </c:pt>
                <c:pt idx="7">
                  <c:v>-2.1612726469828435E-2</c:v>
                </c:pt>
                <c:pt idx="8">
                  <c:v>-4.1884813557497354E-2</c:v>
                </c:pt>
                <c:pt idx="9">
                  <c:v>-4.1865593921263849E-2</c:v>
                </c:pt>
                <c:pt idx="10">
                  <c:v>-4.0040910651591863E-2</c:v>
                </c:pt>
                <c:pt idx="11">
                  <c:v>-4.2951046054353924E-2</c:v>
                </c:pt>
                <c:pt idx="12">
                  <c:v>-4.4046727090638442E-2</c:v>
                </c:pt>
                <c:pt idx="13">
                  <c:v>-4.5469596146014805E-2</c:v>
                </c:pt>
                <c:pt idx="14">
                  <c:v>-4.8028315215183998E-2</c:v>
                </c:pt>
                <c:pt idx="15">
                  <c:v>-5.4288298196900314E-2</c:v>
                </c:pt>
                <c:pt idx="16">
                  <c:v>-5.4441818852266136E-2</c:v>
                </c:pt>
                <c:pt idx="17">
                  <c:v>-6.0939057634842156E-2</c:v>
                </c:pt>
                <c:pt idx="18">
                  <c:v>-6.0180637971829515E-2</c:v>
                </c:pt>
                <c:pt idx="19">
                  <c:v>-7.2699135552564909E-2</c:v>
                </c:pt>
                <c:pt idx="20">
                  <c:v>-6.8354328035205136E-2</c:v>
                </c:pt>
                <c:pt idx="21">
                  <c:v>-8.6735579968308996E-2</c:v>
                </c:pt>
                <c:pt idx="22">
                  <c:v>-0.10222604057409591</c:v>
                </c:pt>
                <c:pt idx="23">
                  <c:v>-8.8614954271484553E-2</c:v>
                </c:pt>
                <c:pt idx="24">
                  <c:v>-9.0120326524159744E-2</c:v>
                </c:pt>
                <c:pt idx="25">
                  <c:v>-7.6457230853055141E-2</c:v>
                </c:pt>
                <c:pt idx="26">
                  <c:v>-6.3450160039688092E-2</c:v>
                </c:pt>
                <c:pt idx="27">
                  <c:v>-6.3232354087603276E-2</c:v>
                </c:pt>
                <c:pt idx="28">
                  <c:v>-4.9178575289681635E-2</c:v>
                </c:pt>
                <c:pt idx="29">
                  <c:v>-4.9565935889548614E-2</c:v>
                </c:pt>
                <c:pt idx="30">
                  <c:v>-4.940576395832199E-2</c:v>
                </c:pt>
                <c:pt idx="31">
                  <c:v>-4.8199941775839548E-2</c:v>
                </c:pt>
                <c:pt idx="32">
                  <c:v>-4.8694774300815293E-2</c:v>
                </c:pt>
                <c:pt idx="33">
                  <c:v>-4.7659197403739521E-2</c:v>
                </c:pt>
                <c:pt idx="34">
                  <c:v>-4.7806720089105664E-2</c:v>
                </c:pt>
                <c:pt idx="35">
                  <c:v>-4.7111179559720703E-2</c:v>
                </c:pt>
                <c:pt idx="36">
                  <c:v>-4.6121421180360375E-2</c:v>
                </c:pt>
                <c:pt idx="37">
                  <c:v>-4.5185663196879243E-2</c:v>
                </c:pt>
                <c:pt idx="38">
                  <c:v>-5.4874885974558224E-2</c:v>
                </c:pt>
                <c:pt idx="39">
                  <c:v>-5.677931611299198E-2</c:v>
                </c:pt>
                <c:pt idx="40">
                  <c:v>-4.0700177150791918E-2</c:v>
                </c:pt>
                <c:pt idx="41">
                  <c:v>-4.0344393000871608E-2</c:v>
                </c:pt>
                <c:pt idx="42">
                  <c:v>-3.9417445313572559E-2</c:v>
                </c:pt>
                <c:pt idx="43">
                  <c:v>-5.0608388053065993E-2</c:v>
                </c:pt>
                <c:pt idx="44">
                  <c:v>-5.1795612795372925E-2</c:v>
                </c:pt>
                <c:pt idx="45">
                  <c:v>-5.0782130080318871E-2</c:v>
                </c:pt>
                <c:pt idx="46">
                  <c:v>-5.0434801574827645E-2</c:v>
                </c:pt>
                <c:pt idx="47">
                  <c:v>-4.9960258863305226E-2</c:v>
                </c:pt>
                <c:pt idx="48">
                  <c:v>-4.8854473363037762E-2</c:v>
                </c:pt>
                <c:pt idx="49">
                  <c:v>-3.5460427711359752E-2</c:v>
                </c:pt>
                <c:pt idx="50">
                  <c:v>-3.4586951553290508E-2</c:v>
                </c:pt>
                <c:pt idx="51">
                  <c:v>-4.4437161339032118E-2</c:v>
                </c:pt>
                <c:pt idx="52">
                  <c:v>-4.7928378084338322E-2</c:v>
                </c:pt>
                <c:pt idx="53">
                  <c:v>-4.4517125976414107E-2</c:v>
                </c:pt>
                <c:pt idx="54">
                  <c:v>-4.6026393176412807E-2</c:v>
                </c:pt>
                <c:pt idx="55">
                  <c:v>-4.492536125402892E-2</c:v>
                </c:pt>
                <c:pt idx="56">
                  <c:v>-4.4456119652921219E-2</c:v>
                </c:pt>
                <c:pt idx="57">
                  <c:v>-2.985441011842889E-2</c:v>
                </c:pt>
                <c:pt idx="58">
                  <c:v>-2.985441011842889E-2</c:v>
                </c:pt>
                <c:pt idx="59">
                  <c:v>-2.778708905199493E-2</c:v>
                </c:pt>
                <c:pt idx="60">
                  <c:v>-2.6742017443073043E-2</c:v>
                </c:pt>
                <c:pt idx="61">
                  <c:v>-2.4880164180892464E-2</c:v>
                </c:pt>
                <c:pt idx="62">
                  <c:v>-1.1474091479412194E-2</c:v>
                </c:pt>
                <c:pt idx="63">
                  <c:v>-1.0521384875309413E-2</c:v>
                </c:pt>
                <c:pt idx="64">
                  <c:v>-1.259393238863123E-2</c:v>
                </c:pt>
                <c:pt idx="65">
                  <c:v>2.7383162035120915E-3</c:v>
                </c:pt>
                <c:pt idx="66">
                  <c:v>7.8369973103521902E-4</c:v>
                </c:pt>
                <c:pt idx="67">
                  <c:v>2.3265344083663025E-3</c:v>
                </c:pt>
                <c:pt idx="68">
                  <c:v>2.1116589997149373E-3</c:v>
                </c:pt>
                <c:pt idx="69">
                  <c:v>1.6000425181078234E-2</c:v>
                </c:pt>
                <c:pt idx="70">
                  <c:v>1.5734075492543589E-2</c:v>
                </c:pt>
                <c:pt idx="71">
                  <c:v>6.967459122301374E-2</c:v>
                </c:pt>
                <c:pt idx="72">
                  <c:v>7.094939006049282E-2</c:v>
                </c:pt>
                <c:pt idx="73">
                  <c:v>3.0967102479307937E-2</c:v>
                </c:pt>
                <c:pt idx="74">
                  <c:v>3.1229364339741061E-2</c:v>
                </c:pt>
                <c:pt idx="75">
                  <c:v>3.155117658489133E-2</c:v>
                </c:pt>
                <c:pt idx="76">
                  <c:v>3.4316060317899098E-2</c:v>
                </c:pt>
                <c:pt idx="77">
                  <c:v>3.5184907337296269E-2</c:v>
                </c:pt>
                <c:pt idx="78">
                  <c:v>2.2748968951505053E-2</c:v>
                </c:pt>
                <c:pt idx="79">
                  <c:v>3.6531924471234503E-2</c:v>
                </c:pt>
                <c:pt idx="80">
                  <c:v>3.8567837080657585E-2</c:v>
                </c:pt>
                <c:pt idx="81">
                  <c:v>4.0004761544985522E-2</c:v>
                </c:pt>
                <c:pt idx="82">
                  <c:v>3.9831262174195421E-2</c:v>
                </c:pt>
                <c:pt idx="83">
                  <c:v>3.9831262174195421E-2</c:v>
                </c:pt>
                <c:pt idx="84">
                  <c:v>6.7869482241328244E-2</c:v>
                </c:pt>
                <c:pt idx="85">
                  <c:v>4.0834167556262485E-2</c:v>
                </c:pt>
                <c:pt idx="86">
                  <c:v>3.4727182585223296E-2</c:v>
                </c:pt>
                <c:pt idx="87">
                  <c:v>6.1661073090864743E-2</c:v>
                </c:pt>
                <c:pt idx="88">
                  <c:v>7.4379482265055086E-2</c:v>
                </c:pt>
                <c:pt idx="89">
                  <c:v>8.1111985821104987E-2</c:v>
                </c:pt>
                <c:pt idx="90">
                  <c:v>8.1111985821104987E-2</c:v>
                </c:pt>
                <c:pt idx="91">
                  <c:v>9.429030987749272E-2</c:v>
                </c:pt>
                <c:pt idx="92">
                  <c:v>0.12028696779499544</c:v>
                </c:pt>
                <c:pt idx="93">
                  <c:v>0.11883339336415374</c:v>
                </c:pt>
                <c:pt idx="94">
                  <c:v>0.12049519814974669</c:v>
                </c:pt>
                <c:pt idx="95">
                  <c:v>0.12739697014339202</c:v>
                </c:pt>
                <c:pt idx="96">
                  <c:v>0.13521736484107941</c:v>
                </c:pt>
                <c:pt idx="97">
                  <c:v>0.13550658645670852</c:v>
                </c:pt>
                <c:pt idx="98">
                  <c:v>0.13501194059055022</c:v>
                </c:pt>
                <c:pt idx="99">
                  <c:v>0.13529840587764191</c:v>
                </c:pt>
                <c:pt idx="100">
                  <c:v>0.13514664603712018</c:v>
                </c:pt>
                <c:pt idx="101">
                  <c:v>0.13335995405875348</c:v>
                </c:pt>
                <c:pt idx="102">
                  <c:v>0.13843572994904432</c:v>
                </c:pt>
                <c:pt idx="103">
                  <c:v>0.13736697755815255</c:v>
                </c:pt>
                <c:pt idx="104">
                  <c:v>0.13767288647205891</c:v>
                </c:pt>
                <c:pt idx="105">
                  <c:v>0.13812992680846786</c:v>
                </c:pt>
                <c:pt idx="106">
                  <c:v>0.13960410837275261</c:v>
                </c:pt>
                <c:pt idx="107">
                  <c:v>0.1551041445758731</c:v>
                </c:pt>
                <c:pt idx="108">
                  <c:v>0.1405622156386393</c:v>
                </c:pt>
                <c:pt idx="109">
                  <c:v>0.13365914325523254</c:v>
                </c:pt>
                <c:pt idx="110">
                  <c:v>0.14395773863021574</c:v>
                </c:pt>
                <c:pt idx="111">
                  <c:v>0.14491731427879934</c:v>
                </c:pt>
                <c:pt idx="112">
                  <c:v>0.14327113905818509</c:v>
                </c:pt>
                <c:pt idx="113">
                  <c:v>0.15030383976832815</c:v>
                </c:pt>
                <c:pt idx="114">
                  <c:v>0.14881037012624349</c:v>
                </c:pt>
                <c:pt idx="115">
                  <c:v>0.14488130157095894</c:v>
                </c:pt>
                <c:pt idx="116">
                  <c:v>0.14418642056939532</c:v>
                </c:pt>
                <c:pt idx="117">
                  <c:v>0.14583460548327726</c:v>
                </c:pt>
                <c:pt idx="118">
                  <c:v>0.14533508160002387</c:v>
                </c:pt>
                <c:pt idx="119">
                  <c:v>0.14564547032554789</c:v>
                </c:pt>
                <c:pt idx="120">
                  <c:v>0.14519959840838104</c:v>
                </c:pt>
                <c:pt idx="121">
                  <c:v>0.1458273195674373</c:v>
                </c:pt>
                <c:pt idx="122">
                  <c:v>0.13941211111315618</c:v>
                </c:pt>
                <c:pt idx="123">
                  <c:v>0.13621113016305358</c:v>
                </c:pt>
                <c:pt idx="124">
                  <c:v>0.13567063466937671</c:v>
                </c:pt>
                <c:pt idx="125">
                  <c:v>0.13807279054445615</c:v>
                </c:pt>
                <c:pt idx="126">
                  <c:v>0.13743256946659343</c:v>
                </c:pt>
                <c:pt idx="127">
                  <c:v>0.13432061855043875</c:v>
                </c:pt>
                <c:pt idx="128">
                  <c:v>0.13238252760526401</c:v>
                </c:pt>
                <c:pt idx="129">
                  <c:v>0.14564398949892984</c:v>
                </c:pt>
                <c:pt idx="130">
                  <c:v>0.1442485779555957</c:v>
                </c:pt>
                <c:pt idx="131">
                  <c:v>0.11756660218994201</c:v>
                </c:pt>
                <c:pt idx="132">
                  <c:v>0.10850999725429626</c:v>
                </c:pt>
                <c:pt idx="133">
                  <c:v>0.1090248769362628</c:v>
                </c:pt>
                <c:pt idx="134">
                  <c:v>0.10723322605531321</c:v>
                </c:pt>
                <c:pt idx="135">
                  <c:v>0.10187949045038289</c:v>
                </c:pt>
                <c:pt idx="136">
                  <c:v>5.6907868524914938E-2</c:v>
                </c:pt>
                <c:pt idx="137">
                  <c:v>6.4628848736445574E-2</c:v>
                </c:pt>
                <c:pt idx="138">
                  <c:v>6.4815588439351243E-2</c:v>
                </c:pt>
                <c:pt idx="139">
                  <c:v>4.8659038893801271E-2</c:v>
                </c:pt>
                <c:pt idx="140">
                  <c:v>4.5636654663931499E-2</c:v>
                </c:pt>
                <c:pt idx="141">
                  <c:v>3.0732982336875037E-2</c:v>
                </c:pt>
                <c:pt idx="142">
                  <c:v>8.9542257196158943E-3</c:v>
                </c:pt>
                <c:pt idx="143">
                  <c:v>5.6474250182742868E-3</c:v>
                </c:pt>
                <c:pt idx="144">
                  <c:v>4.4238550404731682E-3</c:v>
                </c:pt>
                <c:pt idx="145">
                  <c:v>1.0602031756071036E-4</c:v>
                </c:pt>
                <c:pt idx="146">
                  <c:v>-3.0659049776388591E-4</c:v>
                </c:pt>
                <c:pt idx="147">
                  <c:v>-1.7104912750520978E-3</c:v>
                </c:pt>
                <c:pt idx="148">
                  <c:v>-1.6585743413365182E-3</c:v>
                </c:pt>
                <c:pt idx="149">
                  <c:v>-7.3183673645398138E-4</c:v>
                </c:pt>
                <c:pt idx="150">
                  <c:v>-1.3689732786730175E-3</c:v>
                </c:pt>
                <c:pt idx="151">
                  <c:v>-1.8307067946860179E-4</c:v>
                </c:pt>
                <c:pt idx="152">
                  <c:v>-1.2662111947262173E-3</c:v>
                </c:pt>
                <c:pt idx="153">
                  <c:v>-8.2524058583043364E-3</c:v>
                </c:pt>
                <c:pt idx="154">
                  <c:v>-6.5031583641181612E-3</c:v>
                </c:pt>
                <c:pt idx="155">
                  <c:v>-6.8958507936061958E-3</c:v>
                </c:pt>
                <c:pt idx="156">
                  <c:v>-6.8373223762288144E-3</c:v>
                </c:pt>
                <c:pt idx="157">
                  <c:v>4.1418081144154696E-3</c:v>
                </c:pt>
                <c:pt idx="158">
                  <c:v>2.0359790449920621E-2</c:v>
                </c:pt>
                <c:pt idx="159">
                  <c:v>3.4235286676185347E-2</c:v>
                </c:pt>
                <c:pt idx="160">
                  <c:v>3.3684306030434465E-2</c:v>
                </c:pt>
                <c:pt idx="161">
                  <c:v>3.2055259699658535E-2</c:v>
                </c:pt>
                <c:pt idx="162">
                  <c:v>3.0840619098717031E-2</c:v>
                </c:pt>
                <c:pt idx="163">
                  <c:v>4.6796046763218246E-2</c:v>
                </c:pt>
                <c:pt idx="164">
                  <c:v>4.6831815922873034E-2</c:v>
                </c:pt>
                <c:pt idx="165">
                  <c:v>4.5984067469473804E-2</c:v>
                </c:pt>
                <c:pt idx="166">
                  <c:v>-1.5029628568563571E-2</c:v>
                </c:pt>
                <c:pt idx="167">
                  <c:v>-1.8056848737166689E-2</c:v>
                </c:pt>
                <c:pt idx="168">
                  <c:v>-6.4543793025311665E-3</c:v>
                </c:pt>
                <c:pt idx="169">
                  <c:v>-9.0479597473265803E-3</c:v>
                </c:pt>
                <c:pt idx="170">
                  <c:v>-5.5385919674635024E-3</c:v>
                </c:pt>
                <c:pt idx="171">
                  <c:v>-2.0845990928673917E-2</c:v>
                </c:pt>
                <c:pt idx="172">
                  <c:v>-1.9768370744012938E-2</c:v>
                </c:pt>
                <c:pt idx="173">
                  <c:v>-2.0074022732831931E-2</c:v>
                </c:pt>
                <c:pt idx="174">
                  <c:v>-1.1277953786410852E-2</c:v>
                </c:pt>
                <c:pt idx="175">
                  <c:v>-2.5971130419773111E-2</c:v>
                </c:pt>
                <c:pt idx="176">
                  <c:v>-2.70877286580146E-2</c:v>
                </c:pt>
                <c:pt idx="177">
                  <c:v>-3.0089955610548471E-2</c:v>
                </c:pt>
                <c:pt idx="178">
                  <c:v>-3.2021574166757917E-2</c:v>
                </c:pt>
                <c:pt idx="179">
                  <c:v>-3.5830983213465298E-2</c:v>
                </c:pt>
                <c:pt idx="180">
                  <c:v>-3.5751115974308342E-2</c:v>
                </c:pt>
              </c:numCache>
            </c:numRef>
          </c:val>
          <c:smooth val="0"/>
        </c:ser>
        <c:dLbls>
          <c:showLegendKey val="0"/>
          <c:showVal val="0"/>
          <c:showCatName val="0"/>
          <c:showSerName val="0"/>
          <c:showPercent val="0"/>
          <c:showBubbleSize val="0"/>
        </c:dLbls>
        <c:marker val="1"/>
        <c:smooth val="0"/>
        <c:axId val="82047744"/>
        <c:axId val="82049280"/>
      </c:lineChart>
      <c:catAx>
        <c:axId val="82047744"/>
        <c:scaling>
          <c:orientation val="minMax"/>
          <c:min val="1"/>
        </c:scaling>
        <c:delete val="0"/>
        <c:axPos val="b"/>
        <c:numFmt formatCode="[$-409]d\-mmm\-yy;@" sourceLinked="1"/>
        <c:majorTickMark val="out"/>
        <c:minorTickMark val="none"/>
        <c:tickLblPos val="nextTo"/>
        <c:txPr>
          <a:bodyPr/>
          <a:lstStyle/>
          <a:p>
            <a:pPr>
              <a:defRPr sz="750" b="1">
                <a:solidFill>
                  <a:schemeClr val="accent4">
                    <a:lumMod val="75000"/>
                  </a:schemeClr>
                </a:solidFill>
              </a:defRPr>
            </a:pPr>
            <a:endParaRPr lang="en-US"/>
          </a:p>
        </c:txPr>
        <c:crossAx val="82049280"/>
        <c:crosses val="autoZero"/>
        <c:auto val="0"/>
        <c:lblAlgn val="ctr"/>
        <c:lblOffset val="100"/>
        <c:noMultiLvlLbl val="0"/>
      </c:catAx>
      <c:valAx>
        <c:axId val="82049280"/>
        <c:scaling>
          <c:orientation val="minMax"/>
        </c:scaling>
        <c:delete val="0"/>
        <c:axPos val="l"/>
        <c:majorGridlines>
          <c:spPr>
            <a:ln>
              <a:solidFill>
                <a:schemeClr val="accent1">
                  <a:lumMod val="20000"/>
                  <a:lumOff val="80000"/>
                </a:schemeClr>
              </a:solidFill>
            </a:ln>
          </c:spPr>
        </c:majorGridlines>
        <c:numFmt formatCode="0.00%" sourceLinked="1"/>
        <c:majorTickMark val="out"/>
        <c:minorTickMark val="none"/>
        <c:tickLblPos val="nextTo"/>
        <c:txPr>
          <a:bodyPr/>
          <a:lstStyle/>
          <a:p>
            <a:pPr>
              <a:defRPr sz="800" b="1">
                <a:solidFill>
                  <a:schemeClr val="accent4">
                    <a:lumMod val="75000"/>
                  </a:schemeClr>
                </a:solidFill>
              </a:defRPr>
            </a:pPr>
            <a:endParaRPr lang="en-US"/>
          </a:p>
        </c:txPr>
        <c:crossAx val="82047744"/>
        <c:crosses val="autoZero"/>
        <c:crossBetween val="between"/>
      </c:valAx>
      <c:spPr>
        <a:solidFill>
          <a:schemeClr val="accent1">
            <a:lumMod val="20000"/>
            <a:lumOff val="80000"/>
          </a:schemeClr>
        </a:solidFill>
      </c:spPr>
    </c:plotArea>
    <c:legend>
      <c:legendPos val="b"/>
      <c:layout>
        <c:manualLayout>
          <c:xMode val="edge"/>
          <c:yMode val="edge"/>
          <c:x val="5.1115141219592437E-2"/>
          <c:y val="0.8865249853477053"/>
          <c:w val="0.90124224267884878"/>
          <c:h val="9.953775195576281E-2"/>
        </c:manualLayout>
      </c:layout>
      <c:overlay val="0"/>
      <c:txPr>
        <a:bodyPr/>
        <a:lstStyle/>
        <a:p>
          <a:pPr>
            <a:defRPr sz="700" b="1">
              <a:solidFill>
                <a:schemeClr val="accent4">
                  <a:lumMod val="75000"/>
                </a:schemeClr>
              </a:solidFill>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20"/>
      <c:rAngAx val="0"/>
      <c:perspective val="30"/>
    </c:view3D>
    <c:floor>
      <c:thickness val="0"/>
    </c:floor>
    <c:sideWall>
      <c:thickness val="0"/>
    </c:sideWall>
    <c:backWall>
      <c:thickness val="0"/>
    </c:backWall>
    <c:plotArea>
      <c:layout>
        <c:manualLayout>
          <c:layoutTarget val="inner"/>
          <c:xMode val="edge"/>
          <c:yMode val="edge"/>
          <c:x val="7.1777836664647758E-3"/>
          <c:y val="3.5651414048864592E-2"/>
          <c:w val="0.97104595699576013"/>
          <c:h val="0.93467982221635992"/>
        </c:manualLayout>
      </c:layout>
      <c:pie3DChart>
        <c:varyColors val="1"/>
        <c:ser>
          <c:idx val="0"/>
          <c:order val="0"/>
          <c:spPr>
            <a:effectLst>
              <a:outerShdw blurRad="50800" dist="38100" dir="2700000" algn="tl" rotWithShape="0">
                <a:prstClr val="black">
                  <a:alpha val="40000"/>
                </a:prstClr>
              </a:outerShdw>
            </a:effectLst>
            <a:scene3d>
              <a:camera prst="orthographicFront"/>
              <a:lightRig rig="threePt" dir="t"/>
            </a:scene3d>
            <a:sp3d>
              <a:bevelT/>
            </a:sp3d>
          </c:spPr>
          <c:dPt>
            <c:idx val="2"/>
            <c:bubble3D val="0"/>
            <c:spPr>
              <a:solidFill>
                <a:srgbClr val="4F81BD">
                  <a:lumMod val="20000"/>
                  <a:lumOff val="80000"/>
                </a:srgbClr>
              </a:solidFill>
              <a:effectLst>
                <a:outerShdw blurRad="50800" dist="38100" dir="2700000" algn="tl" rotWithShape="0">
                  <a:prstClr val="black">
                    <a:alpha val="40000"/>
                  </a:prstClr>
                </a:outerShdw>
              </a:effectLst>
              <a:scene3d>
                <a:camera prst="orthographicFront"/>
                <a:lightRig rig="threePt" dir="t"/>
              </a:scene3d>
              <a:sp3d>
                <a:bevelT/>
              </a:sp3d>
            </c:spPr>
          </c:dPt>
          <c:dPt>
            <c:idx val="4"/>
            <c:bubble3D val="0"/>
            <c:spPr>
              <a:solidFill>
                <a:schemeClr val="accent3">
                  <a:lumMod val="75000"/>
                </a:schemeClr>
              </a:solidFill>
              <a:effectLst>
                <a:outerShdw blurRad="50800" dist="38100" dir="2700000" algn="tl" rotWithShape="0">
                  <a:prstClr val="black">
                    <a:alpha val="40000"/>
                  </a:prstClr>
                </a:outerShdw>
              </a:effectLst>
              <a:scene3d>
                <a:camera prst="orthographicFront"/>
                <a:lightRig rig="threePt" dir="t"/>
              </a:scene3d>
              <a:sp3d>
                <a:bevelT/>
              </a:sp3d>
            </c:spPr>
          </c:dPt>
          <c:dLbls>
            <c:dLbl>
              <c:idx val="0"/>
              <c:layout>
                <c:manualLayout>
                  <c:x val="-2.550345621211763E-2"/>
                  <c:y val="-4.0174193472452713E-2"/>
                </c:manualLayout>
              </c:layout>
              <c:showLegendKey val="0"/>
              <c:showVal val="1"/>
              <c:showCatName val="1"/>
              <c:showSerName val="0"/>
              <c:showPercent val="0"/>
              <c:showBubbleSize val="0"/>
            </c:dLbl>
            <c:dLbl>
              <c:idx val="1"/>
              <c:layout>
                <c:manualLayout>
                  <c:x val="8.6934383202100021E-2"/>
                  <c:y val="6.2532808398950979E-3"/>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4.8019903762029748E-2"/>
                  <c:y val="8.5981700204140699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4.3267716535433084E-2"/>
                  <c:y val="0.15079651501895597"/>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9.9563648293964246E-2"/>
                  <c:y val="0.14963910761154856"/>
                </c:manualLayout>
              </c:layou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14100524934383196"/>
                  <c:y val="7.6735564304461962E-2"/>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sz="650" b="1">
                    <a:solidFill>
                      <a:schemeClr val="accent4">
                        <a:lumMod val="75000"/>
                      </a:schemeClr>
                    </a:solidFill>
                  </a:defRPr>
                </a:pPr>
                <a:endParaRPr lang="en-US"/>
              </a:p>
            </c:tx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Liquidity!$J$49:$J$54</c:f>
              <c:strCache>
                <c:ptCount val="6"/>
                <c:pt idx="0">
                  <c:v>GOIL</c:v>
                </c:pt>
                <c:pt idx="1">
                  <c:v>ALW</c:v>
                </c:pt>
                <c:pt idx="2">
                  <c:v>EGL</c:v>
                </c:pt>
                <c:pt idx="3">
                  <c:v>GCB</c:v>
                </c:pt>
                <c:pt idx="4">
                  <c:v>SIC</c:v>
                </c:pt>
                <c:pt idx="5">
                  <c:v>Others</c:v>
                </c:pt>
              </c:strCache>
            </c:strRef>
          </c:cat>
          <c:val>
            <c:numRef>
              <c:f>Liquidity!$L$49:$L$54</c:f>
              <c:numCache>
                <c:formatCode>0.00%</c:formatCode>
                <c:ptCount val="6"/>
                <c:pt idx="0">
                  <c:v>0.79047634961828817</c:v>
                </c:pt>
                <c:pt idx="1">
                  <c:v>8.0018159682351472E-2</c:v>
                </c:pt>
                <c:pt idx="2">
                  <c:v>4.3405076944475762E-2</c:v>
                </c:pt>
                <c:pt idx="3">
                  <c:v>3.983103681760275E-2</c:v>
                </c:pt>
                <c:pt idx="4">
                  <c:v>1.6268009548032744E-2</c:v>
                </c:pt>
                <c:pt idx="5">
                  <c:v>3.000136738924912E-2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71281714785651"/>
          <c:y val="2.7777777777782883E-2"/>
          <c:w val="0.84373162729662265"/>
          <c:h val="0.82066269925446444"/>
        </c:manualLayout>
      </c:layout>
      <c:areaChart>
        <c:grouping val="standard"/>
        <c:varyColors val="0"/>
        <c:ser>
          <c:idx val="2"/>
          <c:order val="2"/>
          <c:tx>
            <c:strRef>
              <c:f>'2015 YTD Graph '!$F$3</c:f>
              <c:strCache>
                <c:ptCount val="1"/>
                <c:pt idx="0">
                  <c:v>EURGHS</c:v>
                </c:pt>
              </c:strCache>
            </c:strRef>
          </c:tx>
          <c:spPr>
            <a:solidFill>
              <a:schemeClr val="accent6">
                <a:lumMod val="60000"/>
                <a:lumOff val="40000"/>
              </a:schemeClr>
            </a:solidFill>
          </c:spPr>
          <c:cat>
            <c:multiLvlStrRef>
              <c:f>'2015 YTD Graph '!$B$4:$C$181</c:f>
              <c:multiLvlStrCache>
                <c:ptCount val="178"/>
                <c:lvl>
                  <c:pt idx="0">
                    <c:v>2</c:v>
                  </c:pt>
                  <c:pt idx="1">
                    <c:v>5</c:v>
                  </c:pt>
                  <c:pt idx="2">
                    <c:v>6</c:v>
                  </c:pt>
                  <c:pt idx="3">
                    <c:v>7</c:v>
                  </c:pt>
                  <c:pt idx="4">
                    <c:v>8</c:v>
                  </c:pt>
                  <c:pt idx="5">
                    <c:v>9</c:v>
                  </c:pt>
                  <c:pt idx="6">
                    <c:v>12</c:v>
                  </c:pt>
                  <c:pt idx="7">
                    <c:v>13</c:v>
                  </c:pt>
                  <c:pt idx="8">
                    <c:v>14</c:v>
                  </c:pt>
                  <c:pt idx="9">
                    <c:v>15</c:v>
                  </c:pt>
                  <c:pt idx="10">
                    <c:v>16</c:v>
                  </c:pt>
                  <c:pt idx="11">
                    <c:v>19</c:v>
                  </c:pt>
                  <c:pt idx="12">
                    <c:v>20</c:v>
                  </c:pt>
                  <c:pt idx="13">
                    <c:v>21</c:v>
                  </c:pt>
                  <c:pt idx="14">
                    <c:v>22</c:v>
                  </c:pt>
                  <c:pt idx="15">
                    <c:v>23</c:v>
                  </c:pt>
                  <c:pt idx="16">
                    <c:v>26</c:v>
                  </c:pt>
                  <c:pt idx="17">
                    <c:v>17</c:v>
                  </c:pt>
                  <c:pt idx="18">
                    <c:v>28</c:v>
                  </c:pt>
                  <c:pt idx="19">
                    <c:v>29</c:v>
                  </c:pt>
                  <c:pt idx="20">
                    <c:v>30</c:v>
                  </c:pt>
                  <c:pt idx="21">
                    <c:v>2</c:v>
                  </c:pt>
                  <c:pt idx="22">
                    <c:v>3</c:v>
                  </c:pt>
                  <c:pt idx="23">
                    <c:v>4</c:v>
                  </c:pt>
                  <c:pt idx="24">
                    <c:v>5</c:v>
                  </c:pt>
                  <c:pt idx="25">
                    <c:v>6</c:v>
                  </c:pt>
                  <c:pt idx="26">
                    <c:v>9</c:v>
                  </c:pt>
                  <c:pt idx="27">
                    <c:v>10</c:v>
                  </c:pt>
                  <c:pt idx="28">
                    <c:v>11</c:v>
                  </c:pt>
                  <c:pt idx="29">
                    <c:v>12</c:v>
                  </c:pt>
                  <c:pt idx="30">
                    <c:v>13</c:v>
                  </c:pt>
                  <c:pt idx="31">
                    <c:v>16</c:v>
                  </c:pt>
                  <c:pt idx="32">
                    <c:v>17</c:v>
                  </c:pt>
                  <c:pt idx="33">
                    <c:v>18</c:v>
                  </c:pt>
                  <c:pt idx="34">
                    <c:v>19</c:v>
                  </c:pt>
                  <c:pt idx="35">
                    <c:v>20</c:v>
                  </c:pt>
                  <c:pt idx="36">
                    <c:v>23</c:v>
                  </c:pt>
                  <c:pt idx="37">
                    <c:v>24</c:v>
                  </c:pt>
                  <c:pt idx="38">
                    <c:v>25</c:v>
                  </c:pt>
                  <c:pt idx="39">
                    <c:v>26</c:v>
                  </c:pt>
                  <c:pt idx="40">
                    <c:v>27</c:v>
                  </c:pt>
                  <c:pt idx="41">
                    <c:v>2</c:v>
                  </c:pt>
                  <c:pt idx="42">
                    <c:v>3</c:v>
                  </c:pt>
                  <c:pt idx="43">
                    <c:v>4</c:v>
                  </c:pt>
                  <c:pt idx="44">
                    <c:v>5</c:v>
                  </c:pt>
                  <c:pt idx="45">
                    <c:v>9</c:v>
                  </c:pt>
                  <c:pt idx="46">
                    <c:v>10</c:v>
                  </c:pt>
                  <c:pt idx="47">
                    <c:v>11</c:v>
                  </c:pt>
                  <c:pt idx="48">
                    <c:v>12</c:v>
                  </c:pt>
                  <c:pt idx="49">
                    <c:v>13</c:v>
                  </c:pt>
                  <c:pt idx="50">
                    <c:v>16</c:v>
                  </c:pt>
                  <c:pt idx="51">
                    <c:v>17</c:v>
                  </c:pt>
                  <c:pt idx="52">
                    <c:v>18</c:v>
                  </c:pt>
                  <c:pt idx="53">
                    <c:v>19</c:v>
                  </c:pt>
                  <c:pt idx="54">
                    <c:v>20</c:v>
                  </c:pt>
                  <c:pt idx="55">
                    <c:v>23</c:v>
                  </c:pt>
                  <c:pt idx="56">
                    <c:v>24</c:v>
                  </c:pt>
                  <c:pt idx="57">
                    <c:v>25</c:v>
                  </c:pt>
                  <c:pt idx="58">
                    <c:v>26</c:v>
                  </c:pt>
                  <c:pt idx="59">
                    <c:v>27</c:v>
                  </c:pt>
                  <c:pt idx="60">
                    <c:v>30</c:v>
                  </c:pt>
                  <c:pt idx="61">
                    <c:v>31</c:v>
                  </c:pt>
                  <c:pt idx="62">
                    <c:v>1</c:v>
                  </c:pt>
                  <c:pt idx="63">
                    <c:v>2</c:v>
                  </c:pt>
                  <c:pt idx="64">
                    <c:v>7</c:v>
                  </c:pt>
                  <c:pt idx="65">
                    <c:v>8</c:v>
                  </c:pt>
                  <c:pt idx="66">
                    <c:v>9</c:v>
                  </c:pt>
                  <c:pt idx="67">
                    <c:v>10</c:v>
                  </c:pt>
                  <c:pt idx="68">
                    <c:v>13</c:v>
                  </c:pt>
                  <c:pt idx="69">
                    <c:v>14</c:v>
                  </c:pt>
                  <c:pt idx="70">
                    <c:v>15</c:v>
                  </c:pt>
                  <c:pt idx="71">
                    <c:v>16</c:v>
                  </c:pt>
                  <c:pt idx="72">
                    <c:v>17</c:v>
                  </c:pt>
                  <c:pt idx="73">
                    <c:v>20</c:v>
                  </c:pt>
                  <c:pt idx="74">
                    <c:v>21</c:v>
                  </c:pt>
                  <c:pt idx="75">
                    <c:v>22</c:v>
                  </c:pt>
                  <c:pt idx="76">
                    <c:v>23</c:v>
                  </c:pt>
                  <c:pt idx="77">
                    <c:v>24</c:v>
                  </c:pt>
                  <c:pt idx="78">
                    <c:v>27</c:v>
                  </c:pt>
                  <c:pt idx="79">
                    <c:v>28</c:v>
                  </c:pt>
                  <c:pt idx="80">
                    <c:v>29</c:v>
                  </c:pt>
                  <c:pt idx="81">
                    <c:v>30</c:v>
                  </c:pt>
                  <c:pt idx="82">
                    <c:v>4</c:v>
                  </c:pt>
                  <c:pt idx="83">
                    <c:v>5</c:v>
                  </c:pt>
                  <c:pt idx="84">
                    <c:v>6</c:v>
                  </c:pt>
                  <c:pt idx="85">
                    <c:v>7</c:v>
                  </c:pt>
                  <c:pt idx="86">
                    <c:v>11</c:v>
                  </c:pt>
                  <c:pt idx="87">
                    <c:v>12</c:v>
                  </c:pt>
                  <c:pt idx="88">
                    <c:v>13</c:v>
                  </c:pt>
                  <c:pt idx="89">
                    <c:v>14</c:v>
                  </c:pt>
                  <c:pt idx="90">
                    <c:v>15</c:v>
                  </c:pt>
                  <c:pt idx="91">
                    <c:v>18</c:v>
                  </c:pt>
                  <c:pt idx="92">
                    <c:v>19</c:v>
                  </c:pt>
                  <c:pt idx="93">
                    <c:v>20</c:v>
                  </c:pt>
                  <c:pt idx="94">
                    <c:v>21</c:v>
                  </c:pt>
                  <c:pt idx="95">
                    <c:v>22</c:v>
                  </c:pt>
                  <c:pt idx="96">
                    <c:v>26</c:v>
                  </c:pt>
                  <c:pt idx="97">
                    <c:v>27</c:v>
                  </c:pt>
                  <c:pt idx="98">
                    <c:v>28</c:v>
                  </c:pt>
                  <c:pt idx="99">
                    <c:v>1</c:v>
                  </c:pt>
                  <c:pt idx="100">
                    <c:v>2</c:v>
                  </c:pt>
                  <c:pt idx="101">
                    <c:v>3</c:v>
                  </c:pt>
                  <c:pt idx="102">
                    <c:v>4</c:v>
                  </c:pt>
                  <c:pt idx="103">
                    <c:v>5</c:v>
                  </c:pt>
                  <c:pt idx="104">
                    <c:v>8</c:v>
                  </c:pt>
                  <c:pt idx="105">
                    <c:v>9</c:v>
                  </c:pt>
                  <c:pt idx="106">
                    <c:v>10</c:v>
                  </c:pt>
                  <c:pt idx="107">
                    <c:v>11</c:v>
                  </c:pt>
                  <c:pt idx="108">
                    <c:v>12</c:v>
                  </c:pt>
                  <c:pt idx="109">
                    <c:v>15</c:v>
                  </c:pt>
                  <c:pt idx="110">
                    <c:v>16</c:v>
                  </c:pt>
                  <c:pt idx="111">
                    <c:v>17</c:v>
                  </c:pt>
                  <c:pt idx="112">
                    <c:v>18</c:v>
                  </c:pt>
                  <c:pt idx="113">
                    <c:v>22</c:v>
                  </c:pt>
                  <c:pt idx="114">
                    <c:v>23</c:v>
                  </c:pt>
                  <c:pt idx="115">
                    <c:v>24</c:v>
                  </c:pt>
                  <c:pt idx="116">
                    <c:v>25</c:v>
                  </c:pt>
                  <c:pt idx="117">
                    <c:v>26</c:v>
                  </c:pt>
                  <c:pt idx="118">
                    <c:v>29</c:v>
                  </c:pt>
                  <c:pt idx="119">
                    <c:v>30</c:v>
                  </c:pt>
                  <c:pt idx="120">
                    <c:v>2</c:v>
                  </c:pt>
                  <c:pt idx="121">
                    <c:v>3</c:v>
                  </c:pt>
                  <c:pt idx="122">
                    <c:v>6</c:v>
                  </c:pt>
                  <c:pt idx="123">
                    <c:v>7</c:v>
                  </c:pt>
                  <c:pt idx="124">
                    <c:v>8</c:v>
                  </c:pt>
                  <c:pt idx="125">
                    <c:v>9</c:v>
                  </c:pt>
                  <c:pt idx="126">
                    <c:v>10</c:v>
                  </c:pt>
                  <c:pt idx="127">
                    <c:v>13</c:v>
                  </c:pt>
                  <c:pt idx="128">
                    <c:v>14</c:v>
                  </c:pt>
                  <c:pt idx="129">
                    <c:v>15</c:v>
                  </c:pt>
                  <c:pt idx="130">
                    <c:v>16</c:v>
                  </c:pt>
                  <c:pt idx="131">
                    <c:v>17</c:v>
                  </c:pt>
                  <c:pt idx="132">
                    <c:v>21</c:v>
                  </c:pt>
                  <c:pt idx="133">
                    <c:v>22</c:v>
                  </c:pt>
                  <c:pt idx="134">
                    <c:v>23</c:v>
                  </c:pt>
                  <c:pt idx="135">
                    <c:v>24</c:v>
                  </c:pt>
                  <c:pt idx="136">
                    <c:v>27</c:v>
                  </c:pt>
                  <c:pt idx="137">
                    <c:v>28</c:v>
                  </c:pt>
                  <c:pt idx="138">
                    <c:v>29</c:v>
                  </c:pt>
                  <c:pt idx="139">
                    <c:v>30</c:v>
                  </c:pt>
                  <c:pt idx="140">
                    <c:v>31</c:v>
                  </c:pt>
                  <c:pt idx="141">
                    <c:v>3</c:v>
                  </c:pt>
                  <c:pt idx="142">
                    <c:v>4</c:v>
                  </c:pt>
                  <c:pt idx="143">
                    <c:v>5</c:v>
                  </c:pt>
                  <c:pt idx="144">
                    <c:v>6</c:v>
                  </c:pt>
                  <c:pt idx="145">
                    <c:v>7</c:v>
                  </c:pt>
                  <c:pt idx="146">
                    <c:v>10</c:v>
                  </c:pt>
                  <c:pt idx="147">
                    <c:v>11</c:v>
                  </c:pt>
                  <c:pt idx="148">
                    <c:v>12</c:v>
                  </c:pt>
                  <c:pt idx="149">
                    <c:v>13</c:v>
                  </c:pt>
                  <c:pt idx="150">
                    <c:v>14</c:v>
                  </c:pt>
                  <c:pt idx="151">
                    <c:v>17</c:v>
                  </c:pt>
                  <c:pt idx="152">
                    <c:v>18</c:v>
                  </c:pt>
                  <c:pt idx="153">
                    <c:v>19</c:v>
                  </c:pt>
                  <c:pt idx="154">
                    <c:v>20</c:v>
                  </c:pt>
                  <c:pt idx="155">
                    <c:v>21</c:v>
                  </c:pt>
                  <c:pt idx="156">
                    <c:v>24</c:v>
                  </c:pt>
                  <c:pt idx="157">
                    <c:v>25</c:v>
                  </c:pt>
                  <c:pt idx="158">
                    <c:v>26</c:v>
                  </c:pt>
                  <c:pt idx="159">
                    <c:v>27</c:v>
                  </c:pt>
                  <c:pt idx="160">
                    <c:v>28</c:v>
                  </c:pt>
                  <c:pt idx="161">
                    <c:v>31</c:v>
                  </c:pt>
                  <c:pt idx="162">
                    <c:v>1</c:v>
                  </c:pt>
                  <c:pt idx="163">
                    <c:v>2</c:v>
                  </c:pt>
                  <c:pt idx="164">
                    <c:v>3</c:v>
                  </c:pt>
                  <c:pt idx="165">
                    <c:v>4</c:v>
                  </c:pt>
                  <c:pt idx="166">
                    <c:v>7</c:v>
                  </c:pt>
                  <c:pt idx="167">
                    <c:v>8</c:v>
                  </c:pt>
                  <c:pt idx="168">
                    <c:v>9</c:v>
                  </c:pt>
                  <c:pt idx="169">
                    <c:v>10</c:v>
                  </c:pt>
                  <c:pt idx="170">
                    <c:v>11</c:v>
                  </c:pt>
                  <c:pt idx="171">
                    <c:v>14</c:v>
                  </c:pt>
                  <c:pt idx="172">
                    <c:v>15</c:v>
                  </c:pt>
                  <c:pt idx="173">
                    <c:v>16</c:v>
                  </c:pt>
                  <c:pt idx="174">
                    <c:v>17</c:v>
                  </c:pt>
                  <c:pt idx="175">
                    <c:v>18</c:v>
                  </c:pt>
                  <c:pt idx="176">
                    <c:v>22</c:v>
                  </c:pt>
                  <c:pt idx="177">
                    <c:v>23</c:v>
                  </c:pt>
                </c:lvl>
                <c:lvl>
                  <c:pt idx="0">
                    <c:v>Jan</c:v>
                  </c:pt>
                  <c:pt idx="21">
                    <c:v>Feb</c:v>
                  </c:pt>
                  <c:pt idx="41">
                    <c:v>Mar</c:v>
                  </c:pt>
                  <c:pt idx="62">
                    <c:v>Apr</c:v>
                  </c:pt>
                  <c:pt idx="82">
                    <c:v>May</c:v>
                  </c:pt>
                  <c:pt idx="99">
                    <c:v>Jun</c:v>
                  </c:pt>
                  <c:pt idx="120">
                    <c:v>Jul</c:v>
                  </c:pt>
                  <c:pt idx="141">
                    <c:v>Aug</c:v>
                  </c:pt>
                  <c:pt idx="162">
                    <c:v>Sep</c:v>
                  </c:pt>
                </c:lvl>
              </c:multiLvlStrCache>
            </c:multiLvlStrRef>
          </c:cat>
          <c:val>
            <c:numRef>
              <c:f>'2015 YTD Graph '!$F$4:$F$181</c:f>
              <c:numCache>
                <c:formatCode>0.00%</c:formatCode>
                <c:ptCount val="178"/>
                <c:pt idx="0">
                  <c:v>-3.7475775504703934E-3</c:v>
                </c:pt>
                <c:pt idx="1">
                  <c:v>-1.2628822978297372E-2</c:v>
                </c:pt>
                <c:pt idx="2">
                  <c:v>-1.9045907824993269E-2</c:v>
                </c:pt>
                <c:pt idx="3">
                  <c:v>-1.7942169231361604E-2</c:v>
                </c:pt>
                <c:pt idx="4">
                  <c:v>-2.5989193629118112E-2</c:v>
                </c:pt>
                <c:pt idx="5">
                  <c:v>-2.1279053351643373E-2</c:v>
                </c:pt>
                <c:pt idx="6">
                  <c:v>-2.8453354210249415E-2</c:v>
                </c:pt>
                <c:pt idx="7">
                  <c:v>-2.4590269132538478E-2</c:v>
                </c:pt>
                <c:pt idx="8">
                  <c:v>-2.867153509503706E-2</c:v>
                </c:pt>
                <c:pt idx="9">
                  <c:v>-2.6566731265320831E-2</c:v>
                </c:pt>
                <c:pt idx="10">
                  <c:v>-3.8335664874160957E-2</c:v>
                </c:pt>
                <c:pt idx="11">
                  <c:v>-4.5574136581233882E-2</c:v>
                </c:pt>
                <c:pt idx="12">
                  <c:v>-3.9388066789019072E-2</c:v>
                </c:pt>
                <c:pt idx="13">
                  <c:v>-4.0876830473452475E-2</c:v>
                </c:pt>
                <c:pt idx="14">
                  <c:v>-3.6128187686897628E-2</c:v>
                </c:pt>
                <c:pt idx="15">
                  <c:v>-5.0707804458590577E-2</c:v>
                </c:pt>
                <c:pt idx="16">
                  <c:v>-6.5877793036179577E-2</c:v>
                </c:pt>
                <c:pt idx="17">
                  <c:v>-6.6724848235943379E-2</c:v>
                </c:pt>
                <c:pt idx="18">
                  <c:v>-5.5738798978400061E-2</c:v>
                </c:pt>
                <c:pt idx="19">
                  <c:v>-6.0269260880167375E-2</c:v>
                </c:pt>
                <c:pt idx="20">
                  <c:v>-5.7856436977809733E-2</c:v>
                </c:pt>
                <c:pt idx="21">
                  <c:v>-5.8421140444319009E-2</c:v>
                </c:pt>
                <c:pt idx="22">
                  <c:v>-5.3428648433589632E-2</c:v>
                </c:pt>
                <c:pt idx="23">
                  <c:v>-4.0145282800929216E-2</c:v>
                </c:pt>
                <c:pt idx="24">
                  <c:v>-4.0337795346330085E-2</c:v>
                </c:pt>
                <c:pt idx="25">
                  <c:v>-3.7065082074515199E-2</c:v>
                </c:pt>
                <c:pt idx="26">
                  <c:v>-4.5407292375219788E-2</c:v>
                </c:pt>
                <c:pt idx="27">
                  <c:v>-2.7477957313551626E-2</c:v>
                </c:pt>
                <c:pt idx="28">
                  <c:v>-2.5937856950344562E-2</c:v>
                </c:pt>
                <c:pt idx="29">
                  <c:v>-2.9210570222159449E-2</c:v>
                </c:pt>
                <c:pt idx="30">
                  <c:v>-1.6735757280182728E-2</c:v>
                </c:pt>
                <c:pt idx="31">
                  <c:v>-7.5079892706341189E-3</c:v>
                </c:pt>
                <c:pt idx="32">
                  <c:v>-7.6748334766482129E-3</c:v>
                </c:pt>
                <c:pt idx="33">
                  <c:v>-6.1989039619081421E-3</c:v>
                </c:pt>
                <c:pt idx="34">
                  <c:v>-8.1496977553037198E-3</c:v>
                </c:pt>
                <c:pt idx="35">
                  <c:v>-5.7368738529460783E-3</c:v>
                </c:pt>
                <c:pt idx="36">
                  <c:v>-6.9561199738182866E-3</c:v>
                </c:pt>
                <c:pt idx="37">
                  <c:v>1.0524019148581143E-3</c:v>
                </c:pt>
                <c:pt idx="38">
                  <c:v>3.170039914267786E-3</c:v>
                </c:pt>
                <c:pt idx="39">
                  <c:v>9.1635971610817268E-3</c:v>
                </c:pt>
                <c:pt idx="40">
                  <c:v>1.0780702542450005E-3</c:v>
                </c:pt>
                <c:pt idx="41">
                  <c:v>-1.7967837570748157E-3</c:v>
                </c:pt>
                <c:pt idx="42">
                  <c:v>-1.2449144602589834E-3</c:v>
                </c:pt>
                <c:pt idx="43">
                  <c:v>5.3903512712238921E-4</c:v>
                </c:pt>
                <c:pt idx="44">
                  <c:v>-8.5475570157989011E-3</c:v>
                </c:pt>
                <c:pt idx="45">
                  <c:v>-5.1978387258235781E-3</c:v>
                </c:pt>
                <c:pt idx="46">
                  <c:v>-2.2318621096808156E-2</c:v>
                </c:pt>
                <c:pt idx="47">
                  <c:v>-2.6361384550226519E-2</c:v>
                </c:pt>
                <c:pt idx="48">
                  <c:v>-3.9208388413311646E-2</c:v>
                </c:pt>
                <c:pt idx="49">
                  <c:v>-3.5101454111426289E-2</c:v>
                </c:pt>
                <c:pt idx="50">
                  <c:v>-4.2262920800338777E-2</c:v>
                </c:pt>
                <c:pt idx="51">
                  <c:v>-3.417739389350205E-2</c:v>
                </c:pt>
                <c:pt idx="52">
                  <c:v>-1.9251254540087581E-2</c:v>
                </c:pt>
                <c:pt idx="53">
                  <c:v>-1.7159284880064685E-2</c:v>
                </c:pt>
                <c:pt idx="54">
                  <c:v>-7.4438184221671255E-3</c:v>
                </c:pt>
                <c:pt idx="55">
                  <c:v>5.8138788711064038E-3</c:v>
                </c:pt>
                <c:pt idx="56">
                  <c:v>3.4061886366261618E-2</c:v>
                </c:pt>
                <c:pt idx="57">
                  <c:v>3.442124311767647E-2</c:v>
                </c:pt>
                <c:pt idx="58">
                  <c:v>4.3828689502932505E-2</c:v>
                </c:pt>
                <c:pt idx="59">
                  <c:v>4.2198749951871894E-2</c:v>
                </c:pt>
                <c:pt idx="60">
                  <c:v>4.0324961176636753E-2</c:v>
                </c:pt>
                <c:pt idx="61">
                  <c:v>4.1659714824749505E-2</c:v>
                </c:pt>
                <c:pt idx="62">
                  <c:v>3.8579514098335377E-2</c:v>
                </c:pt>
                <c:pt idx="63">
                  <c:v>4.267361423052729E-2</c:v>
                </c:pt>
                <c:pt idx="64">
                  <c:v>5.5533452263305749E-2</c:v>
                </c:pt>
                <c:pt idx="65">
                  <c:v>5.7432909377927777E-2</c:v>
                </c:pt>
                <c:pt idx="66">
                  <c:v>5.8459642953399227E-2</c:v>
                </c:pt>
                <c:pt idx="67">
                  <c:v>4.2904629285008378E-2</c:v>
                </c:pt>
                <c:pt idx="68">
                  <c:v>3.8682187455882477E-2</c:v>
                </c:pt>
                <c:pt idx="69">
                  <c:v>3.7937805613665887E-2</c:v>
                </c:pt>
                <c:pt idx="70">
                  <c:v>4.5022267284418049E-2</c:v>
                </c:pt>
                <c:pt idx="71">
                  <c:v>3.5281132487133826E-2</c:v>
                </c:pt>
                <c:pt idx="72">
                  <c:v>5.3017955003401118E-2</c:v>
                </c:pt>
                <c:pt idx="73">
                  <c:v>5.6983713438659045E-2</c:v>
                </c:pt>
                <c:pt idx="74">
                  <c:v>4.9822246749746446E-2</c:v>
                </c:pt>
                <c:pt idx="75">
                  <c:v>5.7022215947739152E-2</c:v>
                </c:pt>
                <c:pt idx="76">
                  <c:v>4.5779483296328083E-2</c:v>
                </c:pt>
                <c:pt idx="77">
                  <c:v>6.0076748334766394E-2</c:v>
                </c:pt>
                <c:pt idx="78">
                  <c:v>6.9971893168371491E-2</c:v>
                </c:pt>
                <c:pt idx="79">
                  <c:v>7.3295943118959928E-2</c:v>
                </c:pt>
                <c:pt idx="80">
                  <c:v>8.0996444934994916E-2</c:v>
                </c:pt>
                <c:pt idx="81">
                  <c:v>0.10160812146258191</c:v>
                </c:pt>
                <c:pt idx="82">
                  <c:v>0.10678029184901883</c:v>
                </c:pt>
                <c:pt idx="83">
                  <c:v>0.10503484477071745</c:v>
                </c:pt>
                <c:pt idx="84">
                  <c:v>0.10829472387283912</c:v>
                </c:pt>
                <c:pt idx="85">
                  <c:v>0.12266899392943764</c:v>
                </c:pt>
                <c:pt idx="86">
                  <c:v>0.11292785913215342</c:v>
                </c:pt>
                <c:pt idx="87">
                  <c:v>0.10629259340066999</c:v>
                </c:pt>
                <c:pt idx="88">
                  <c:v>0.11543052222236483</c:v>
                </c:pt>
                <c:pt idx="89">
                  <c:v>0.13249996791457574</c:v>
                </c:pt>
                <c:pt idx="90">
                  <c:v>0.13570851033792364</c:v>
                </c:pt>
                <c:pt idx="91">
                  <c:v>0.13632455048320646</c:v>
                </c:pt>
                <c:pt idx="92">
                  <c:v>0.1265705815162288</c:v>
                </c:pt>
                <c:pt idx="93">
                  <c:v>0.10683162852779238</c:v>
                </c:pt>
                <c:pt idx="94">
                  <c:v>0.11175994969005476</c:v>
                </c:pt>
                <c:pt idx="95">
                  <c:v>0.12476096358946065</c:v>
                </c:pt>
                <c:pt idx="96">
                  <c:v>0.11371074348345034</c:v>
                </c:pt>
                <c:pt idx="97">
                  <c:v>0.10961664335125842</c:v>
                </c:pt>
                <c:pt idx="98">
                  <c:v>0.10715248277012712</c:v>
                </c:pt>
                <c:pt idx="99">
                  <c:v>0.13035666157577941</c:v>
                </c:pt>
                <c:pt idx="100">
                  <c:v>0.13051067161210006</c:v>
                </c:pt>
                <c:pt idx="101">
                  <c:v>0.15723141291374154</c:v>
                </c:pt>
                <c:pt idx="102">
                  <c:v>0.18269440558543071</c:v>
                </c:pt>
                <c:pt idx="103">
                  <c:v>0.18564626461491063</c:v>
                </c:pt>
                <c:pt idx="104">
                  <c:v>0.17279926075182561</c:v>
                </c:pt>
                <c:pt idx="105">
                  <c:v>0.18273290809451082</c:v>
                </c:pt>
                <c:pt idx="106">
                  <c:v>0.18909865626243305</c:v>
                </c:pt>
                <c:pt idx="107">
                  <c:v>0.20172747924073042</c:v>
                </c:pt>
                <c:pt idx="108">
                  <c:v>0.20387078557952698</c:v>
                </c:pt>
                <c:pt idx="109">
                  <c:v>0.2079007148632519</c:v>
                </c:pt>
                <c:pt idx="110">
                  <c:v>0.21950280426607804</c:v>
                </c:pt>
                <c:pt idx="111">
                  <c:v>0.22308353761053423</c:v>
                </c:pt>
                <c:pt idx="112">
                  <c:v>0.24409307339861641</c:v>
                </c:pt>
                <c:pt idx="113">
                  <c:v>0.24825134437927532</c:v>
                </c:pt>
                <c:pt idx="114">
                  <c:v>0.22892308482102752</c:v>
                </c:pt>
                <c:pt idx="115">
                  <c:v>0.23489097372845458</c:v>
                </c:pt>
                <c:pt idx="116">
                  <c:v>0.23816368700026946</c:v>
                </c:pt>
                <c:pt idx="117">
                  <c:v>0.23573802892821849</c:v>
                </c:pt>
                <c:pt idx="118">
                  <c:v>0.24296366646559808</c:v>
                </c:pt>
                <c:pt idx="119">
                  <c:v>0.24463210852573902</c:v>
                </c:pt>
                <c:pt idx="120">
                  <c:v>0.19433499749733696</c:v>
                </c:pt>
                <c:pt idx="121">
                  <c:v>0.14571916269876928</c:v>
                </c:pt>
                <c:pt idx="122">
                  <c:v>0.11726580848851986</c:v>
                </c:pt>
                <c:pt idx="123">
                  <c:v>6.7109873326745229E-2</c:v>
                </c:pt>
                <c:pt idx="124">
                  <c:v>4.1723885673216277E-2</c:v>
                </c:pt>
                <c:pt idx="125">
                  <c:v>4.5304619017672021E-3</c:v>
                </c:pt>
                <c:pt idx="126">
                  <c:v>-9.6512956094305657E-3</c:v>
                </c:pt>
                <c:pt idx="127">
                  <c:v>-5.587997484502738E-2</c:v>
                </c:pt>
                <c:pt idx="128">
                  <c:v>-6.4222185145731969E-2</c:v>
                </c:pt>
                <c:pt idx="129">
                  <c:v>-6.9047832950447252E-2</c:v>
                </c:pt>
                <c:pt idx="130">
                  <c:v>-8.9993197890062548E-2</c:v>
                </c:pt>
                <c:pt idx="131">
                  <c:v>-9.3240242822490549E-2</c:v>
                </c:pt>
                <c:pt idx="132">
                  <c:v>-8.376862558876752E-2</c:v>
                </c:pt>
                <c:pt idx="133">
                  <c:v>-8.3203922122258356E-2</c:v>
                </c:pt>
                <c:pt idx="134">
                  <c:v>-7.4297008355044492E-2</c:v>
                </c:pt>
                <c:pt idx="135">
                  <c:v>-7.3514124003747572E-2</c:v>
                </c:pt>
                <c:pt idx="136">
                  <c:v>-3.9542076825339834E-2</c:v>
                </c:pt>
                <c:pt idx="137">
                  <c:v>-3.2573122681828104E-2</c:v>
                </c:pt>
                <c:pt idx="138">
                  <c:v>-3.0776338924753288E-2</c:v>
                </c:pt>
                <c:pt idx="139">
                  <c:v>-3.1957082536545278E-2</c:v>
                </c:pt>
                <c:pt idx="140">
                  <c:v>-1.8044842588908705E-2</c:v>
                </c:pt>
                <c:pt idx="141">
                  <c:v>-2.8235173325463769E-4</c:v>
                </c:pt>
                <c:pt idx="142">
                  <c:v>1.1704762760373244E-2</c:v>
                </c:pt>
                <c:pt idx="143">
                  <c:v>2.5771012744330468E-2</c:v>
                </c:pt>
                <c:pt idx="144">
                  <c:v>4.4200880424041022E-2</c:v>
                </c:pt>
                <c:pt idx="145">
                  <c:v>5.5661793960239736E-2</c:v>
                </c:pt>
                <c:pt idx="146">
                  <c:v>6.6108808090660665E-2</c:v>
                </c:pt>
                <c:pt idx="147">
                  <c:v>7.384781241577576E-2</c:v>
                </c:pt>
                <c:pt idx="148">
                  <c:v>0.1003503728326296</c:v>
                </c:pt>
                <c:pt idx="149">
                  <c:v>0.10725515612767422</c:v>
                </c:pt>
                <c:pt idx="150">
                  <c:v>0.11531501469512428</c:v>
                </c:pt>
                <c:pt idx="151">
                  <c:v>0.11587971816163356</c:v>
                </c:pt>
                <c:pt idx="152">
                  <c:v>0.11509683381033664</c:v>
                </c:pt>
                <c:pt idx="153">
                  <c:v>0.12537700373474348</c:v>
                </c:pt>
                <c:pt idx="154">
                  <c:v>0.14372986639629359</c:v>
                </c:pt>
                <c:pt idx="155">
                  <c:v>0.16968055751633138</c:v>
                </c:pt>
                <c:pt idx="156">
                  <c:v>0.19815958006596768</c:v>
                </c:pt>
                <c:pt idx="157">
                  <c:v>0.18612112889356625</c:v>
                </c:pt>
                <c:pt idx="158">
                  <c:v>0.18671150069946219</c:v>
                </c:pt>
                <c:pt idx="159">
                  <c:v>0.17100247699475091</c:v>
                </c:pt>
                <c:pt idx="160">
                  <c:v>0.16652335177175703</c:v>
                </c:pt>
                <c:pt idx="161">
                  <c:v>0.12780266180679445</c:v>
                </c:pt>
                <c:pt idx="162">
                  <c:v>9.1931157513764683E-2</c:v>
                </c:pt>
                <c:pt idx="163">
                  <c:v>7.9892706341363251E-2</c:v>
                </c:pt>
                <c:pt idx="164">
                  <c:v>5.5443613075452092E-2</c:v>
                </c:pt>
                <c:pt idx="165">
                  <c:v>5.8639321329106542E-2</c:v>
                </c:pt>
                <c:pt idx="166">
                  <c:v>6.2579411424977804E-2</c:v>
                </c:pt>
                <c:pt idx="167">
                  <c:v>6.6455330672382074E-2</c:v>
                </c:pt>
                <c:pt idx="168">
                  <c:v>6.5402928757523959E-2</c:v>
                </c:pt>
                <c:pt idx="169">
                  <c:v>7.1820013604219968E-2</c:v>
                </c:pt>
                <c:pt idx="170">
                  <c:v>7.979003298381615E-2</c:v>
                </c:pt>
                <c:pt idx="171">
                  <c:v>9.7873378081805074E-2</c:v>
                </c:pt>
                <c:pt idx="172">
                  <c:v>0.10482949805562325</c:v>
                </c:pt>
                <c:pt idx="173">
                  <c:v>0.11217064312024339</c:v>
                </c:pt>
                <c:pt idx="174">
                  <c:v>0.12007649165137257</c:v>
                </c:pt>
                <c:pt idx="175">
                  <c:v>0.12328503407472047</c:v>
                </c:pt>
                <c:pt idx="176">
                  <c:v>9.6217770191357577E-2</c:v>
                </c:pt>
                <c:pt idx="177">
                  <c:v>9.1199609841241314E-2</c:v>
                </c:pt>
              </c:numCache>
            </c:numRef>
          </c:val>
        </c:ser>
        <c:dLbls>
          <c:showLegendKey val="0"/>
          <c:showVal val="0"/>
          <c:showCatName val="0"/>
          <c:showSerName val="0"/>
          <c:showPercent val="0"/>
          <c:showBubbleSize val="0"/>
        </c:dLbls>
        <c:axId val="114108288"/>
        <c:axId val="114116864"/>
      </c:areaChart>
      <c:barChart>
        <c:barDir val="col"/>
        <c:grouping val="clustered"/>
        <c:varyColors val="0"/>
        <c:ser>
          <c:idx val="0"/>
          <c:order val="0"/>
          <c:tx>
            <c:strRef>
              <c:f>'2015 YTD Graph '!$D$3</c:f>
              <c:strCache>
                <c:ptCount val="1"/>
                <c:pt idx="0">
                  <c:v>USDGHS</c:v>
                </c:pt>
              </c:strCache>
            </c:strRef>
          </c:tx>
          <c:spPr>
            <a:solidFill>
              <a:srgbClr val="7030A0"/>
            </a:solidFill>
          </c:spPr>
          <c:invertIfNegative val="0"/>
          <c:cat>
            <c:multiLvlStrRef>
              <c:f>'2015 YTD Graph '!$B$4:$C$181</c:f>
              <c:multiLvlStrCache>
                <c:ptCount val="178"/>
                <c:lvl>
                  <c:pt idx="0">
                    <c:v>2</c:v>
                  </c:pt>
                  <c:pt idx="1">
                    <c:v>5</c:v>
                  </c:pt>
                  <c:pt idx="2">
                    <c:v>6</c:v>
                  </c:pt>
                  <c:pt idx="3">
                    <c:v>7</c:v>
                  </c:pt>
                  <c:pt idx="4">
                    <c:v>8</c:v>
                  </c:pt>
                  <c:pt idx="5">
                    <c:v>9</c:v>
                  </c:pt>
                  <c:pt idx="6">
                    <c:v>12</c:v>
                  </c:pt>
                  <c:pt idx="7">
                    <c:v>13</c:v>
                  </c:pt>
                  <c:pt idx="8">
                    <c:v>14</c:v>
                  </c:pt>
                  <c:pt idx="9">
                    <c:v>15</c:v>
                  </c:pt>
                  <c:pt idx="10">
                    <c:v>16</c:v>
                  </c:pt>
                  <c:pt idx="11">
                    <c:v>19</c:v>
                  </c:pt>
                  <c:pt idx="12">
                    <c:v>20</c:v>
                  </c:pt>
                  <c:pt idx="13">
                    <c:v>21</c:v>
                  </c:pt>
                  <c:pt idx="14">
                    <c:v>22</c:v>
                  </c:pt>
                  <c:pt idx="15">
                    <c:v>23</c:v>
                  </c:pt>
                  <c:pt idx="16">
                    <c:v>26</c:v>
                  </c:pt>
                  <c:pt idx="17">
                    <c:v>17</c:v>
                  </c:pt>
                  <c:pt idx="18">
                    <c:v>28</c:v>
                  </c:pt>
                  <c:pt idx="19">
                    <c:v>29</c:v>
                  </c:pt>
                  <c:pt idx="20">
                    <c:v>30</c:v>
                  </c:pt>
                  <c:pt idx="21">
                    <c:v>2</c:v>
                  </c:pt>
                  <c:pt idx="22">
                    <c:v>3</c:v>
                  </c:pt>
                  <c:pt idx="23">
                    <c:v>4</c:v>
                  </c:pt>
                  <c:pt idx="24">
                    <c:v>5</c:v>
                  </c:pt>
                  <c:pt idx="25">
                    <c:v>6</c:v>
                  </c:pt>
                  <c:pt idx="26">
                    <c:v>9</c:v>
                  </c:pt>
                  <c:pt idx="27">
                    <c:v>10</c:v>
                  </c:pt>
                  <c:pt idx="28">
                    <c:v>11</c:v>
                  </c:pt>
                  <c:pt idx="29">
                    <c:v>12</c:v>
                  </c:pt>
                  <c:pt idx="30">
                    <c:v>13</c:v>
                  </c:pt>
                  <c:pt idx="31">
                    <c:v>16</c:v>
                  </c:pt>
                  <c:pt idx="32">
                    <c:v>17</c:v>
                  </c:pt>
                  <c:pt idx="33">
                    <c:v>18</c:v>
                  </c:pt>
                  <c:pt idx="34">
                    <c:v>19</c:v>
                  </c:pt>
                  <c:pt idx="35">
                    <c:v>20</c:v>
                  </c:pt>
                  <c:pt idx="36">
                    <c:v>23</c:v>
                  </c:pt>
                  <c:pt idx="37">
                    <c:v>24</c:v>
                  </c:pt>
                  <c:pt idx="38">
                    <c:v>25</c:v>
                  </c:pt>
                  <c:pt idx="39">
                    <c:v>26</c:v>
                  </c:pt>
                  <c:pt idx="40">
                    <c:v>27</c:v>
                  </c:pt>
                  <c:pt idx="41">
                    <c:v>2</c:v>
                  </c:pt>
                  <c:pt idx="42">
                    <c:v>3</c:v>
                  </c:pt>
                  <c:pt idx="43">
                    <c:v>4</c:v>
                  </c:pt>
                  <c:pt idx="44">
                    <c:v>5</c:v>
                  </c:pt>
                  <c:pt idx="45">
                    <c:v>9</c:v>
                  </c:pt>
                  <c:pt idx="46">
                    <c:v>10</c:v>
                  </c:pt>
                  <c:pt idx="47">
                    <c:v>11</c:v>
                  </c:pt>
                  <c:pt idx="48">
                    <c:v>12</c:v>
                  </c:pt>
                  <c:pt idx="49">
                    <c:v>13</c:v>
                  </c:pt>
                  <c:pt idx="50">
                    <c:v>16</c:v>
                  </c:pt>
                  <c:pt idx="51">
                    <c:v>17</c:v>
                  </c:pt>
                  <c:pt idx="52">
                    <c:v>18</c:v>
                  </c:pt>
                  <c:pt idx="53">
                    <c:v>19</c:v>
                  </c:pt>
                  <c:pt idx="54">
                    <c:v>20</c:v>
                  </c:pt>
                  <c:pt idx="55">
                    <c:v>23</c:v>
                  </c:pt>
                  <c:pt idx="56">
                    <c:v>24</c:v>
                  </c:pt>
                  <c:pt idx="57">
                    <c:v>25</c:v>
                  </c:pt>
                  <c:pt idx="58">
                    <c:v>26</c:v>
                  </c:pt>
                  <c:pt idx="59">
                    <c:v>27</c:v>
                  </c:pt>
                  <c:pt idx="60">
                    <c:v>30</c:v>
                  </c:pt>
                  <c:pt idx="61">
                    <c:v>31</c:v>
                  </c:pt>
                  <c:pt idx="62">
                    <c:v>1</c:v>
                  </c:pt>
                  <c:pt idx="63">
                    <c:v>2</c:v>
                  </c:pt>
                  <c:pt idx="64">
                    <c:v>7</c:v>
                  </c:pt>
                  <c:pt idx="65">
                    <c:v>8</c:v>
                  </c:pt>
                  <c:pt idx="66">
                    <c:v>9</c:v>
                  </c:pt>
                  <c:pt idx="67">
                    <c:v>10</c:v>
                  </c:pt>
                  <c:pt idx="68">
                    <c:v>13</c:v>
                  </c:pt>
                  <c:pt idx="69">
                    <c:v>14</c:v>
                  </c:pt>
                  <c:pt idx="70">
                    <c:v>15</c:v>
                  </c:pt>
                  <c:pt idx="71">
                    <c:v>16</c:v>
                  </c:pt>
                  <c:pt idx="72">
                    <c:v>17</c:v>
                  </c:pt>
                  <c:pt idx="73">
                    <c:v>20</c:v>
                  </c:pt>
                  <c:pt idx="74">
                    <c:v>21</c:v>
                  </c:pt>
                  <c:pt idx="75">
                    <c:v>22</c:v>
                  </c:pt>
                  <c:pt idx="76">
                    <c:v>23</c:v>
                  </c:pt>
                  <c:pt idx="77">
                    <c:v>24</c:v>
                  </c:pt>
                  <c:pt idx="78">
                    <c:v>27</c:v>
                  </c:pt>
                  <c:pt idx="79">
                    <c:v>28</c:v>
                  </c:pt>
                  <c:pt idx="80">
                    <c:v>29</c:v>
                  </c:pt>
                  <c:pt idx="81">
                    <c:v>30</c:v>
                  </c:pt>
                  <c:pt idx="82">
                    <c:v>4</c:v>
                  </c:pt>
                  <c:pt idx="83">
                    <c:v>5</c:v>
                  </c:pt>
                  <c:pt idx="84">
                    <c:v>6</c:v>
                  </c:pt>
                  <c:pt idx="85">
                    <c:v>7</c:v>
                  </c:pt>
                  <c:pt idx="86">
                    <c:v>11</c:v>
                  </c:pt>
                  <c:pt idx="87">
                    <c:v>12</c:v>
                  </c:pt>
                  <c:pt idx="88">
                    <c:v>13</c:v>
                  </c:pt>
                  <c:pt idx="89">
                    <c:v>14</c:v>
                  </c:pt>
                  <c:pt idx="90">
                    <c:v>15</c:v>
                  </c:pt>
                  <c:pt idx="91">
                    <c:v>18</c:v>
                  </c:pt>
                  <c:pt idx="92">
                    <c:v>19</c:v>
                  </c:pt>
                  <c:pt idx="93">
                    <c:v>20</c:v>
                  </c:pt>
                  <c:pt idx="94">
                    <c:v>21</c:v>
                  </c:pt>
                  <c:pt idx="95">
                    <c:v>22</c:v>
                  </c:pt>
                  <c:pt idx="96">
                    <c:v>26</c:v>
                  </c:pt>
                  <c:pt idx="97">
                    <c:v>27</c:v>
                  </c:pt>
                  <c:pt idx="98">
                    <c:v>28</c:v>
                  </c:pt>
                  <c:pt idx="99">
                    <c:v>1</c:v>
                  </c:pt>
                  <c:pt idx="100">
                    <c:v>2</c:v>
                  </c:pt>
                  <c:pt idx="101">
                    <c:v>3</c:v>
                  </c:pt>
                  <c:pt idx="102">
                    <c:v>4</c:v>
                  </c:pt>
                  <c:pt idx="103">
                    <c:v>5</c:v>
                  </c:pt>
                  <c:pt idx="104">
                    <c:v>8</c:v>
                  </c:pt>
                  <c:pt idx="105">
                    <c:v>9</c:v>
                  </c:pt>
                  <c:pt idx="106">
                    <c:v>10</c:v>
                  </c:pt>
                  <c:pt idx="107">
                    <c:v>11</c:v>
                  </c:pt>
                  <c:pt idx="108">
                    <c:v>12</c:v>
                  </c:pt>
                  <c:pt idx="109">
                    <c:v>15</c:v>
                  </c:pt>
                  <c:pt idx="110">
                    <c:v>16</c:v>
                  </c:pt>
                  <c:pt idx="111">
                    <c:v>17</c:v>
                  </c:pt>
                  <c:pt idx="112">
                    <c:v>18</c:v>
                  </c:pt>
                  <c:pt idx="113">
                    <c:v>22</c:v>
                  </c:pt>
                  <c:pt idx="114">
                    <c:v>23</c:v>
                  </c:pt>
                  <c:pt idx="115">
                    <c:v>24</c:v>
                  </c:pt>
                  <c:pt idx="116">
                    <c:v>25</c:v>
                  </c:pt>
                  <c:pt idx="117">
                    <c:v>26</c:v>
                  </c:pt>
                  <c:pt idx="118">
                    <c:v>29</c:v>
                  </c:pt>
                  <c:pt idx="119">
                    <c:v>30</c:v>
                  </c:pt>
                  <c:pt idx="120">
                    <c:v>2</c:v>
                  </c:pt>
                  <c:pt idx="121">
                    <c:v>3</c:v>
                  </c:pt>
                  <c:pt idx="122">
                    <c:v>6</c:v>
                  </c:pt>
                  <c:pt idx="123">
                    <c:v>7</c:v>
                  </c:pt>
                  <c:pt idx="124">
                    <c:v>8</c:v>
                  </c:pt>
                  <c:pt idx="125">
                    <c:v>9</c:v>
                  </c:pt>
                  <c:pt idx="126">
                    <c:v>10</c:v>
                  </c:pt>
                  <c:pt idx="127">
                    <c:v>13</c:v>
                  </c:pt>
                  <c:pt idx="128">
                    <c:v>14</c:v>
                  </c:pt>
                  <c:pt idx="129">
                    <c:v>15</c:v>
                  </c:pt>
                  <c:pt idx="130">
                    <c:v>16</c:v>
                  </c:pt>
                  <c:pt idx="131">
                    <c:v>17</c:v>
                  </c:pt>
                  <c:pt idx="132">
                    <c:v>21</c:v>
                  </c:pt>
                  <c:pt idx="133">
                    <c:v>22</c:v>
                  </c:pt>
                  <c:pt idx="134">
                    <c:v>23</c:v>
                  </c:pt>
                  <c:pt idx="135">
                    <c:v>24</c:v>
                  </c:pt>
                  <c:pt idx="136">
                    <c:v>27</c:v>
                  </c:pt>
                  <c:pt idx="137">
                    <c:v>28</c:v>
                  </c:pt>
                  <c:pt idx="138">
                    <c:v>29</c:v>
                  </c:pt>
                  <c:pt idx="139">
                    <c:v>30</c:v>
                  </c:pt>
                  <c:pt idx="140">
                    <c:v>31</c:v>
                  </c:pt>
                  <c:pt idx="141">
                    <c:v>3</c:v>
                  </c:pt>
                  <c:pt idx="142">
                    <c:v>4</c:v>
                  </c:pt>
                  <c:pt idx="143">
                    <c:v>5</c:v>
                  </c:pt>
                  <c:pt idx="144">
                    <c:v>6</c:v>
                  </c:pt>
                  <c:pt idx="145">
                    <c:v>7</c:v>
                  </c:pt>
                  <c:pt idx="146">
                    <c:v>10</c:v>
                  </c:pt>
                  <c:pt idx="147">
                    <c:v>11</c:v>
                  </c:pt>
                  <c:pt idx="148">
                    <c:v>12</c:v>
                  </c:pt>
                  <c:pt idx="149">
                    <c:v>13</c:v>
                  </c:pt>
                  <c:pt idx="150">
                    <c:v>14</c:v>
                  </c:pt>
                  <c:pt idx="151">
                    <c:v>17</c:v>
                  </c:pt>
                  <c:pt idx="152">
                    <c:v>18</c:v>
                  </c:pt>
                  <c:pt idx="153">
                    <c:v>19</c:v>
                  </c:pt>
                  <c:pt idx="154">
                    <c:v>20</c:v>
                  </c:pt>
                  <c:pt idx="155">
                    <c:v>21</c:v>
                  </c:pt>
                  <c:pt idx="156">
                    <c:v>24</c:v>
                  </c:pt>
                  <c:pt idx="157">
                    <c:v>25</c:v>
                  </c:pt>
                  <c:pt idx="158">
                    <c:v>26</c:v>
                  </c:pt>
                  <c:pt idx="159">
                    <c:v>27</c:v>
                  </c:pt>
                  <c:pt idx="160">
                    <c:v>28</c:v>
                  </c:pt>
                  <c:pt idx="161">
                    <c:v>31</c:v>
                  </c:pt>
                  <c:pt idx="162">
                    <c:v>1</c:v>
                  </c:pt>
                  <c:pt idx="163">
                    <c:v>2</c:v>
                  </c:pt>
                  <c:pt idx="164">
                    <c:v>3</c:v>
                  </c:pt>
                  <c:pt idx="165">
                    <c:v>4</c:v>
                  </c:pt>
                  <c:pt idx="166">
                    <c:v>7</c:v>
                  </c:pt>
                  <c:pt idx="167">
                    <c:v>8</c:v>
                  </c:pt>
                  <c:pt idx="168">
                    <c:v>9</c:v>
                  </c:pt>
                  <c:pt idx="169">
                    <c:v>10</c:v>
                  </c:pt>
                  <c:pt idx="170">
                    <c:v>11</c:v>
                  </c:pt>
                  <c:pt idx="171">
                    <c:v>14</c:v>
                  </c:pt>
                  <c:pt idx="172">
                    <c:v>15</c:v>
                  </c:pt>
                  <c:pt idx="173">
                    <c:v>16</c:v>
                  </c:pt>
                  <c:pt idx="174">
                    <c:v>17</c:v>
                  </c:pt>
                  <c:pt idx="175">
                    <c:v>18</c:v>
                  </c:pt>
                  <c:pt idx="176">
                    <c:v>22</c:v>
                  </c:pt>
                  <c:pt idx="177">
                    <c:v>23</c:v>
                  </c:pt>
                </c:lvl>
                <c:lvl>
                  <c:pt idx="0">
                    <c:v>Jan</c:v>
                  </c:pt>
                  <c:pt idx="21">
                    <c:v>Feb</c:v>
                  </c:pt>
                  <c:pt idx="41">
                    <c:v>Mar</c:v>
                  </c:pt>
                  <c:pt idx="62">
                    <c:v>Apr</c:v>
                  </c:pt>
                  <c:pt idx="82">
                    <c:v>May</c:v>
                  </c:pt>
                  <c:pt idx="99">
                    <c:v>Jun</c:v>
                  </c:pt>
                  <c:pt idx="120">
                    <c:v>Jul</c:v>
                  </c:pt>
                  <c:pt idx="141">
                    <c:v>Aug</c:v>
                  </c:pt>
                  <c:pt idx="162">
                    <c:v>Sep</c:v>
                  </c:pt>
                </c:lvl>
              </c:multiLvlStrCache>
            </c:multiLvlStrRef>
          </c:cat>
          <c:val>
            <c:numRef>
              <c:f>'2015 YTD Graph '!$D$4:$D$181</c:f>
              <c:numCache>
                <c:formatCode>0.00%</c:formatCode>
                <c:ptCount val="178"/>
                <c:pt idx="0">
                  <c:v>0</c:v>
                </c:pt>
                <c:pt idx="1">
                  <c:v>3.906188965796531E-4</c:v>
                </c:pt>
                <c:pt idx="2">
                  <c:v>1.2656052249182537E-3</c:v>
                </c:pt>
                <c:pt idx="3">
                  <c:v>2.3905876470680099E-3</c:v>
                </c:pt>
                <c:pt idx="4">
                  <c:v>2.8593303229635936E-3</c:v>
                </c:pt>
                <c:pt idx="5">
                  <c:v>3.3593225105856828E-3</c:v>
                </c:pt>
                <c:pt idx="6">
                  <c:v>3.3905720223121882E-3</c:v>
                </c:pt>
                <c:pt idx="7">
                  <c:v>3.3905720223121882E-3</c:v>
                </c:pt>
                <c:pt idx="8">
                  <c:v>5.6561616224746203E-3</c:v>
                </c:pt>
                <c:pt idx="9">
                  <c:v>5.6561616224746203E-3</c:v>
                </c:pt>
                <c:pt idx="10">
                  <c:v>6.0780300307807789E-3</c:v>
                </c:pt>
                <c:pt idx="11">
                  <c:v>6.3592756363182179E-3</c:v>
                </c:pt>
                <c:pt idx="12">
                  <c:v>6.3592756363182179E-3</c:v>
                </c:pt>
                <c:pt idx="13">
                  <c:v>7.7967531757316966E-3</c:v>
                </c:pt>
                <c:pt idx="14">
                  <c:v>7.7342541522789077E-3</c:v>
                </c:pt>
                <c:pt idx="15">
                  <c:v>8.5779909688910028E-3</c:v>
                </c:pt>
                <c:pt idx="16">
                  <c:v>9.359228762050531E-3</c:v>
                </c:pt>
                <c:pt idx="17">
                  <c:v>8.3279948750800692E-3</c:v>
                </c:pt>
                <c:pt idx="18">
                  <c:v>1.0234215090389132E-2</c:v>
                </c:pt>
                <c:pt idx="19">
                  <c:v>1.0234215090389132E-2</c:v>
                </c:pt>
                <c:pt idx="20">
                  <c:v>1.2515429446414927E-2</c:v>
                </c:pt>
                <c:pt idx="21">
                  <c:v>1.3609162356838178E-2</c:v>
                </c:pt>
                <c:pt idx="22">
                  <c:v>1.601537475976933E-2</c:v>
                </c:pt>
                <c:pt idx="23">
                  <c:v>2.153091357947523E-2</c:v>
                </c:pt>
                <c:pt idx="24">
                  <c:v>2.3734004156185096E-2</c:v>
                </c:pt>
                <c:pt idx="25">
                  <c:v>2.5233980719051363E-2</c:v>
                </c:pt>
                <c:pt idx="26">
                  <c:v>2.6265214606021825E-2</c:v>
                </c:pt>
                <c:pt idx="27">
                  <c:v>4.5233668223934043E-2</c:v>
                </c:pt>
                <c:pt idx="28">
                  <c:v>4.788987672067635E-2</c:v>
                </c:pt>
                <c:pt idx="29">
                  <c:v>4.6108654552272643E-2</c:v>
                </c:pt>
                <c:pt idx="30">
                  <c:v>5.2014812268558197E-2</c:v>
                </c:pt>
                <c:pt idx="31">
                  <c:v>5.9045952406993729E-2</c:v>
                </c:pt>
                <c:pt idx="32">
                  <c:v>5.9045952406993729E-2</c:v>
                </c:pt>
                <c:pt idx="33">
                  <c:v>6.1139669692661158E-2</c:v>
                </c:pt>
                <c:pt idx="34">
                  <c:v>6.310838893142301E-2</c:v>
                </c:pt>
                <c:pt idx="35">
                  <c:v>6.3670880142497666E-2</c:v>
                </c:pt>
                <c:pt idx="36">
                  <c:v>6.7077076920673218E-2</c:v>
                </c:pt>
                <c:pt idx="37">
                  <c:v>7.5108201434352484E-2</c:v>
                </c:pt>
                <c:pt idx="38">
                  <c:v>7.9764378681583148E-2</c:v>
                </c:pt>
                <c:pt idx="39">
                  <c:v>8.2201840596240583E-2</c:v>
                </c:pt>
                <c:pt idx="40">
                  <c:v>8.5764284933047996E-2</c:v>
                </c:pt>
                <c:pt idx="41">
                  <c:v>8.5483039327510557E-2</c:v>
                </c:pt>
                <c:pt idx="42">
                  <c:v>8.5608037374416135E-2</c:v>
                </c:pt>
                <c:pt idx="43">
                  <c:v>8.8326744894611009E-2</c:v>
                </c:pt>
                <c:pt idx="44">
                  <c:v>9.0982953391353316E-2</c:v>
                </c:pt>
                <c:pt idx="45">
                  <c:v>9.6139122826205847E-2</c:v>
                </c:pt>
                <c:pt idx="46">
                  <c:v>9.6170372337932131E-2</c:v>
                </c:pt>
                <c:pt idx="47">
                  <c:v>0.10223277761284977</c:v>
                </c:pt>
                <c:pt idx="48">
                  <c:v>0.10504523366822394</c:v>
                </c:pt>
                <c:pt idx="49">
                  <c:v>0.10629521413727905</c:v>
                </c:pt>
                <c:pt idx="50">
                  <c:v>0.11001390603271832</c:v>
                </c:pt>
                <c:pt idx="51">
                  <c:v>0.11126388650177343</c:v>
                </c:pt>
                <c:pt idx="52">
                  <c:v>0.12585740847799243</c:v>
                </c:pt>
                <c:pt idx="53">
                  <c:v>0.12485742410274847</c:v>
                </c:pt>
                <c:pt idx="54">
                  <c:v>0.1375447258636584</c:v>
                </c:pt>
                <c:pt idx="55">
                  <c:v>0.1370759831877626</c:v>
                </c:pt>
                <c:pt idx="56">
                  <c:v>0.15145075858189716</c:v>
                </c:pt>
                <c:pt idx="57">
                  <c:v>0.15554444461805295</c:v>
                </c:pt>
                <c:pt idx="58">
                  <c:v>0.1566381775284762</c:v>
                </c:pt>
                <c:pt idx="59">
                  <c:v>0.16098185965844292</c:v>
                </c:pt>
                <c:pt idx="60">
                  <c:v>0.16566928641739964</c:v>
                </c:pt>
                <c:pt idx="61">
                  <c:v>0.17098170341088426</c:v>
                </c:pt>
                <c:pt idx="62">
                  <c:v>0.17676286308026445</c:v>
                </c:pt>
                <c:pt idx="63">
                  <c:v>0.17823159013140422</c:v>
                </c:pt>
                <c:pt idx="64">
                  <c:v>0.18170028593303233</c:v>
                </c:pt>
                <c:pt idx="65">
                  <c:v>0.18501273417602859</c:v>
                </c:pt>
                <c:pt idx="66">
                  <c:v>0.1916063811502946</c:v>
                </c:pt>
                <c:pt idx="67">
                  <c:v>0.18860642802456207</c:v>
                </c:pt>
                <c:pt idx="68">
                  <c:v>0.19232511992000134</c:v>
                </c:pt>
                <c:pt idx="69">
                  <c:v>0.19373134794768831</c:v>
                </c:pt>
                <c:pt idx="70">
                  <c:v>0.19176262870892646</c:v>
                </c:pt>
                <c:pt idx="71">
                  <c:v>0.18851267948938299</c:v>
                </c:pt>
                <c:pt idx="72">
                  <c:v>0.19495007890501714</c:v>
                </c:pt>
                <c:pt idx="73">
                  <c:v>0.19426258964703669</c:v>
                </c:pt>
                <c:pt idx="74">
                  <c:v>0.18821580912798241</c:v>
                </c:pt>
                <c:pt idx="75">
                  <c:v>0.19651255449133598</c:v>
                </c:pt>
                <c:pt idx="76">
                  <c:v>0.18795018827830812</c:v>
                </c:pt>
                <c:pt idx="77">
                  <c:v>0.19557506913954459</c:v>
                </c:pt>
                <c:pt idx="78">
                  <c:v>0.19845002421837155</c:v>
                </c:pt>
                <c:pt idx="79">
                  <c:v>0.19902814018530957</c:v>
                </c:pt>
                <c:pt idx="80">
                  <c:v>0.19990312651364817</c:v>
                </c:pt>
                <c:pt idx="81">
                  <c:v>0.20288745488351734</c:v>
                </c:pt>
                <c:pt idx="82">
                  <c:v>0.20343432133872907</c:v>
                </c:pt>
                <c:pt idx="83">
                  <c:v>0.20530929204231185</c:v>
                </c:pt>
                <c:pt idx="84">
                  <c:v>0.20588740800924987</c:v>
                </c:pt>
                <c:pt idx="85">
                  <c:v>0.20532491679817499</c:v>
                </c:pt>
                <c:pt idx="86">
                  <c:v>0.20713738847830498</c:v>
                </c:pt>
                <c:pt idx="87">
                  <c:v>0.20757488164247428</c:v>
                </c:pt>
                <c:pt idx="88">
                  <c:v>0.20898110967016148</c:v>
                </c:pt>
                <c:pt idx="89">
                  <c:v>0.21334041655599134</c:v>
                </c:pt>
                <c:pt idx="90">
                  <c:v>0.21615287261136551</c:v>
                </c:pt>
                <c:pt idx="91">
                  <c:v>0.21116857549100798</c:v>
                </c:pt>
                <c:pt idx="92">
                  <c:v>0.20673114482586219</c:v>
                </c:pt>
                <c:pt idx="93">
                  <c:v>0.21059045952406996</c:v>
                </c:pt>
                <c:pt idx="94">
                  <c:v>0.22051217949719537</c:v>
                </c:pt>
                <c:pt idx="95">
                  <c:v>0.23076201934344787</c:v>
                </c:pt>
                <c:pt idx="96">
                  <c:v>0.22866830205778044</c:v>
                </c:pt>
                <c:pt idx="97">
                  <c:v>0.2394181340916548</c:v>
                </c:pt>
                <c:pt idx="98">
                  <c:v>0.23760566241152481</c:v>
                </c:pt>
                <c:pt idx="99">
                  <c:v>0.25426165216168495</c:v>
                </c:pt>
                <c:pt idx="100">
                  <c:v>0.26360525616787234</c:v>
                </c:pt>
                <c:pt idx="101">
                  <c:v>0.26716770050467953</c:v>
                </c:pt>
                <c:pt idx="102">
                  <c:v>0.27816752863236505</c:v>
                </c:pt>
                <c:pt idx="103">
                  <c:v>0.28079248761738107</c:v>
                </c:pt>
                <c:pt idx="104">
                  <c:v>0.28413618537210361</c:v>
                </c:pt>
                <c:pt idx="105">
                  <c:v>0.28510492023562128</c:v>
                </c:pt>
                <c:pt idx="106">
                  <c:v>0.28657364728676105</c:v>
                </c:pt>
                <c:pt idx="107">
                  <c:v>0.29252667927063647</c:v>
                </c:pt>
                <c:pt idx="108">
                  <c:v>0.30041718098154724</c:v>
                </c:pt>
                <c:pt idx="109">
                  <c:v>0.30763581819034069</c:v>
                </c:pt>
                <c:pt idx="110">
                  <c:v>0.32191684504929619</c:v>
                </c:pt>
                <c:pt idx="111">
                  <c:v>0.32244808674864456</c:v>
                </c:pt>
                <c:pt idx="112">
                  <c:v>0.32751050764831802</c:v>
                </c:pt>
                <c:pt idx="113">
                  <c:v>0.3371197325041797</c:v>
                </c:pt>
                <c:pt idx="114">
                  <c:v>0.33785409602974958</c:v>
                </c:pt>
                <c:pt idx="115">
                  <c:v>0.34496335994750082</c:v>
                </c:pt>
                <c:pt idx="116">
                  <c:v>0.3461977156606928</c:v>
                </c:pt>
                <c:pt idx="117">
                  <c:v>0.34861955281948709</c:v>
                </c:pt>
                <c:pt idx="118">
                  <c:v>0.35227574569147357</c:v>
                </c:pt>
                <c:pt idx="119">
                  <c:v>0.35510382650271088</c:v>
                </c:pt>
                <c:pt idx="120">
                  <c:v>0.30979203449946091</c:v>
                </c:pt>
                <c:pt idx="121">
                  <c:v>0.25676161309979539</c:v>
                </c:pt>
                <c:pt idx="122">
                  <c:v>0.22816830987015835</c:v>
                </c:pt>
                <c:pt idx="123">
                  <c:v>0.1849189856408493</c:v>
                </c:pt>
                <c:pt idx="124">
                  <c:v>0.14623209012359184</c:v>
                </c:pt>
                <c:pt idx="125">
                  <c:v>0.10820143435258833</c:v>
                </c:pt>
                <c:pt idx="126">
                  <c:v>8.1639349385165927E-2</c:v>
                </c:pt>
                <c:pt idx="127">
                  <c:v>4.2061842783706505E-2</c:v>
                </c:pt>
                <c:pt idx="128">
                  <c:v>3.5155700692176772E-2</c:v>
                </c:pt>
                <c:pt idx="129">
                  <c:v>3.4702582772144108E-2</c:v>
                </c:pt>
                <c:pt idx="130">
                  <c:v>1.7015359135013508E-2</c:v>
                </c:pt>
                <c:pt idx="131">
                  <c:v>1.123419946563331E-2</c:v>
                </c:pt>
                <c:pt idx="132">
                  <c:v>2.0593428227683841E-2</c:v>
                </c:pt>
                <c:pt idx="133">
                  <c:v>2.4343369634849399E-2</c:v>
                </c:pt>
                <c:pt idx="134">
                  <c:v>2.7030827643317989E-2</c:v>
                </c:pt>
                <c:pt idx="135">
                  <c:v>2.8296432868236465E-2</c:v>
                </c:pt>
                <c:pt idx="136">
                  <c:v>5.2124185559600633E-2</c:v>
                </c:pt>
                <c:pt idx="137">
                  <c:v>6.6264589615787184E-2</c:v>
                </c:pt>
                <c:pt idx="138">
                  <c:v>7.0327026140216464E-2</c:v>
                </c:pt>
                <c:pt idx="139">
                  <c:v>7.9545632099498498E-2</c:v>
                </c:pt>
                <c:pt idx="140">
                  <c:v>8.2733082295589178E-2</c:v>
                </c:pt>
                <c:pt idx="141">
                  <c:v>0.11096701614037285</c:v>
                </c:pt>
                <c:pt idx="142">
                  <c:v>0.12266995828190175</c:v>
                </c:pt>
                <c:pt idx="143">
                  <c:v>0.1486695520382495</c:v>
                </c:pt>
                <c:pt idx="144">
                  <c:v>0.16290370462961512</c:v>
                </c:pt>
                <c:pt idx="145">
                  <c:v>0.17426290214215401</c:v>
                </c:pt>
                <c:pt idx="146">
                  <c:v>0.18132529179231582</c:v>
                </c:pt>
                <c:pt idx="147">
                  <c:v>0.18660645927407393</c:v>
                </c:pt>
                <c:pt idx="148">
                  <c:v>0.19588756425680853</c:v>
                </c:pt>
                <c:pt idx="149">
                  <c:v>0.21034046343025881</c:v>
                </c:pt>
                <c:pt idx="150">
                  <c:v>0.22187153325729292</c:v>
                </c:pt>
                <c:pt idx="151">
                  <c:v>0.22613709160794371</c:v>
                </c:pt>
                <c:pt idx="152">
                  <c:v>0.23113701348416438</c:v>
                </c:pt>
                <c:pt idx="153">
                  <c:v>0.23813690411087318</c:v>
                </c:pt>
                <c:pt idx="154">
                  <c:v>0.24363681817471594</c:v>
                </c:pt>
                <c:pt idx="155">
                  <c:v>0.25598037530663587</c:v>
                </c:pt>
                <c:pt idx="156">
                  <c:v>0.26079280011249817</c:v>
                </c:pt>
                <c:pt idx="157">
                  <c:v>0.26516773175419139</c:v>
                </c:pt>
                <c:pt idx="158">
                  <c:v>0.26873017609099858</c:v>
                </c:pt>
                <c:pt idx="159">
                  <c:v>0.27093326666770823</c:v>
                </c:pt>
                <c:pt idx="160">
                  <c:v>0.2642302464024</c:v>
                </c:pt>
                <c:pt idx="161">
                  <c:v>0.22594959453758534</c:v>
                </c:pt>
                <c:pt idx="162">
                  <c:v>0.18116904423368374</c:v>
                </c:pt>
                <c:pt idx="163">
                  <c:v>0.16909110795143834</c:v>
                </c:pt>
                <c:pt idx="164">
                  <c:v>0.1576850361713098</c:v>
                </c:pt>
                <c:pt idx="165">
                  <c:v>0.15881001859345956</c:v>
                </c:pt>
                <c:pt idx="166">
                  <c:v>0.15881001859345956</c:v>
                </c:pt>
                <c:pt idx="167">
                  <c:v>0.16062249027358955</c:v>
                </c:pt>
                <c:pt idx="168">
                  <c:v>0.16252871048889861</c:v>
                </c:pt>
                <c:pt idx="169">
                  <c:v>0.16410681083108081</c:v>
                </c:pt>
                <c:pt idx="170">
                  <c:v>0.16410681083108081</c:v>
                </c:pt>
                <c:pt idx="171">
                  <c:v>0.18313776347244581</c:v>
                </c:pt>
                <c:pt idx="172">
                  <c:v>0.18979390947016461</c:v>
                </c:pt>
                <c:pt idx="173">
                  <c:v>0.19757503789003295</c:v>
                </c:pt>
                <c:pt idx="174">
                  <c:v>0.2057936594740708</c:v>
                </c:pt>
                <c:pt idx="175">
                  <c:v>0.20291870439524384</c:v>
                </c:pt>
                <c:pt idx="176">
                  <c:v>0.19685629912032621</c:v>
                </c:pt>
                <c:pt idx="177">
                  <c:v>0.19085639286886136</c:v>
                </c:pt>
              </c:numCache>
            </c:numRef>
          </c:val>
        </c:ser>
        <c:ser>
          <c:idx val="1"/>
          <c:order val="1"/>
          <c:tx>
            <c:strRef>
              <c:f>'2015 YTD Graph '!$E$3</c:f>
              <c:strCache>
                <c:ptCount val="1"/>
                <c:pt idx="0">
                  <c:v>GBPGHS</c:v>
                </c:pt>
              </c:strCache>
            </c:strRef>
          </c:tx>
          <c:spPr>
            <a:solidFill>
              <a:schemeClr val="accent6">
                <a:lumMod val="75000"/>
              </a:schemeClr>
            </a:solidFill>
          </c:spPr>
          <c:invertIfNegative val="0"/>
          <c:cat>
            <c:multiLvlStrRef>
              <c:f>'2015 YTD Graph '!$B$4:$C$181</c:f>
              <c:multiLvlStrCache>
                <c:ptCount val="178"/>
                <c:lvl>
                  <c:pt idx="0">
                    <c:v>2</c:v>
                  </c:pt>
                  <c:pt idx="1">
                    <c:v>5</c:v>
                  </c:pt>
                  <c:pt idx="2">
                    <c:v>6</c:v>
                  </c:pt>
                  <c:pt idx="3">
                    <c:v>7</c:v>
                  </c:pt>
                  <c:pt idx="4">
                    <c:v>8</c:v>
                  </c:pt>
                  <c:pt idx="5">
                    <c:v>9</c:v>
                  </c:pt>
                  <c:pt idx="6">
                    <c:v>12</c:v>
                  </c:pt>
                  <c:pt idx="7">
                    <c:v>13</c:v>
                  </c:pt>
                  <c:pt idx="8">
                    <c:v>14</c:v>
                  </c:pt>
                  <c:pt idx="9">
                    <c:v>15</c:v>
                  </c:pt>
                  <c:pt idx="10">
                    <c:v>16</c:v>
                  </c:pt>
                  <c:pt idx="11">
                    <c:v>19</c:v>
                  </c:pt>
                  <c:pt idx="12">
                    <c:v>20</c:v>
                  </c:pt>
                  <c:pt idx="13">
                    <c:v>21</c:v>
                  </c:pt>
                  <c:pt idx="14">
                    <c:v>22</c:v>
                  </c:pt>
                  <c:pt idx="15">
                    <c:v>23</c:v>
                  </c:pt>
                  <c:pt idx="16">
                    <c:v>26</c:v>
                  </c:pt>
                  <c:pt idx="17">
                    <c:v>17</c:v>
                  </c:pt>
                  <c:pt idx="18">
                    <c:v>28</c:v>
                  </c:pt>
                  <c:pt idx="19">
                    <c:v>29</c:v>
                  </c:pt>
                  <c:pt idx="20">
                    <c:v>30</c:v>
                  </c:pt>
                  <c:pt idx="21">
                    <c:v>2</c:v>
                  </c:pt>
                  <c:pt idx="22">
                    <c:v>3</c:v>
                  </c:pt>
                  <c:pt idx="23">
                    <c:v>4</c:v>
                  </c:pt>
                  <c:pt idx="24">
                    <c:v>5</c:v>
                  </c:pt>
                  <c:pt idx="25">
                    <c:v>6</c:v>
                  </c:pt>
                  <c:pt idx="26">
                    <c:v>9</c:v>
                  </c:pt>
                  <c:pt idx="27">
                    <c:v>10</c:v>
                  </c:pt>
                  <c:pt idx="28">
                    <c:v>11</c:v>
                  </c:pt>
                  <c:pt idx="29">
                    <c:v>12</c:v>
                  </c:pt>
                  <c:pt idx="30">
                    <c:v>13</c:v>
                  </c:pt>
                  <c:pt idx="31">
                    <c:v>16</c:v>
                  </c:pt>
                  <c:pt idx="32">
                    <c:v>17</c:v>
                  </c:pt>
                  <c:pt idx="33">
                    <c:v>18</c:v>
                  </c:pt>
                  <c:pt idx="34">
                    <c:v>19</c:v>
                  </c:pt>
                  <c:pt idx="35">
                    <c:v>20</c:v>
                  </c:pt>
                  <c:pt idx="36">
                    <c:v>23</c:v>
                  </c:pt>
                  <c:pt idx="37">
                    <c:v>24</c:v>
                  </c:pt>
                  <c:pt idx="38">
                    <c:v>25</c:v>
                  </c:pt>
                  <c:pt idx="39">
                    <c:v>26</c:v>
                  </c:pt>
                  <c:pt idx="40">
                    <c:v>27</c:v>
                  </c:pt>
                  <c:pt idx="41">
                    <c:v>2</c:v>
                  </c:pt>
                  <c:pt idx="42">
                    <c:v>3</c:v>
                  </c:pt>
                  <c:pt idx="43">
                    <c:v>4</c:v>
                  </c:pt>
                  <c:pt idx="44">
                    <c:v>5</c:v>
                  </c:pt>
                  <c:pt idx="45">
                    <c:v>9</c:v>
                  </c:pt>
                  <c:pt idx="46">
                    <c:v>10</c:v>
                  </c:pt>
                  <c:pt idx="47">
                    <c:v>11</c:v>
                  </c:pt>
                  <c:pt idx="48">
                    <c:v>12</c:v>
                  </c:pt>
                  <c:pt idx="49">
                    <c:v>13</c:v>
                  </c:pt>
                  <c:pt idx="50">
                    <c:v>16</c:v>
                  </c:pt>
                  <c:pt idx="51">
                    <c:v>17</c:v>
                  </c:pt>
                  <c:pt idx="52">
                    <c:v>18</c:v>
                  </c:pt>
                  <c:pt idx="53">
                    <c:v>19</c:v>
                  </c:pt>
                  <c:pt idx="54">
                    <c:v>20</c:v>
                  </c:pt>
                  <c:pt idx="55">
                    <c:v>23</c:v>
                  </c:pt>
                  <c:pt idx="56">
                    <c:v>24</c:v>
                  </c:pt>
                  <c:pt idx="57">
                    <c:v>25</c:v>
                  </c:pt>
                  <c:pt idx="58">
                    <c:v>26</c:v>
                  </c:pt>
                  <c:pt idx="59">
                    <c:v>27</c:v>
                  </c:pt>
                  <c:pt idx="60">
                    <c:v>30</c:v>
                  </c:pt>
                  <c:pt idx="61">
                    <c:v>31</c:v>
                  </c:pt>
                  <c:pt idx="62">
                    <c:v>1</c:v>
                  </c:pt>
                  <c:pt idx="63">
                    <c:v>2</c:v>
                  </c:pt>
                  <c:pt idx="64">
                    <c:v>7</c:v>
                  </c:pt>
                  <c:pt idx="65">
                    <c:v>8</c:v>
                  </c:pt>
                  <c:pt idx="66">
                    <c:v>9</c:v>
                  </c:pt>
                  <c:pt idx="67">
                    <c:v>10</c:v>
                  </c:pt>
                  <c:pt idx="68">
                    <c:v>13</c:v>
                  </c:pt>
                  <c:pt idx="69">
                    <c:v>14</c:v>
                  </c:pt>
                  <c:pt idx="70">
                    <c:v>15</c:v>
                  </c:pt>
                  <c:pt idx="71">
                    <c:v>16</c:v>
                  </c:pt>
                  <c:pt idx="72">
                    <c:v>17</c:v>
                  </c:pt>
                  <c:pt idx="73">
                    <c:v>20</c:v>
                  </c:pt>
                  <c:pt idx="74">
                    <c:v>21</c:v>
                  </c:pt>
                  <c:pt idx="75">
                    <c:v>22</c:v>
                  </c:pt>
                  <c:pt idx="76">
                    <c:v>23</c:v>
                  </c:pt>
                  <c:pt idx="77">
                    <c:v>24</c:v>
                  </c:pt>
                  <c:pt idx="78">
                    <c:v>27</c:v>
                  </c:pt>
                  <c:pt idx="79">
                    <c:v>28</c:v>
                  </c:pt>
                  <c:pt idx="80">
                    <c:v>29</c:v>
                  </c:pt>
                  <c:pt idx="81">
                    <c:v>30</c:v>
                  </c:pt>
                  <c:pt idx="82">
                    <c:v>4</c:v>
                  </c:pt>
                  <c:pt idx="83">
                    <c:v>5</c:v>
                  </c:pt>
                  <c:pt idx="84">
                    <c:v>6</c:v>
                  </c:pt>
                  <c:pt idx="85">
                    <c:v>7</c:v>
                  </c:pt>
                  <c:pt idx="86">
                    <c:v>11</c:v>
                  </c:pt>
                  <c:pt idx="87">
                    <c:v>12</c:v>
                  </c:pt>
                  <c:pt idx="88">
                    <c:v>13</c:v>
                  </c:pt>
                  <c:pt idx="89">
                    <c:v>14</c:v>
                  </c:pt>
                  <c:pt idx="90">
                    <c:v>15</c:v>
                  </c:pt>
                  <c:pt idx="91">
                    <c:v>18</c:v>
                  </c:pt>
                  <c:pt idx="92">
                    <c:v>19</c:v>
                  </c:pt>
                  <c:pt idx="93">
                    <c:v>20</c:v>
                  </c:pt>
                  <c:pt idx="94">
                    <c:v>21</c:v>
                  </c:pt>
                  <c:pt idx="95">
                    <c:v>22</c:v>
                  </c:pt>
                  <c:pt idx="96">
                    <c:v>26</c:v>
                  </c:pt>
                  <c:pt idx="97">
                    <c:v>27</c:v>
                  </c:pt>
                  <c:pt idx="98">
                    <c:v>28</c:v>
                  </c:pt>
                  <c:pt idx="99">
                    <c:v>1</c:v>
                  </c:pt>
                  <c:pt idx="100">
                    <c:v>2</c:v>
                  </c:pt>
                  <c:pt idx="101">
                    <c:v>3</c:v>
                  </c:pt>
                  <c:pt idx="102">
                    <c:v>4</c:v>
                  </c:pt>
                  <c:pt idx="103">
                    <c:v>5</c:v>
                  </c:pt>
                  <c:pt idx="104">
                    <c:v>8</c:v>
                  </c:pt>
                  <c:pt idx="105">
                    <c:v>9</c:v>
                  </c:pt>
                  <c:pt idx="106">
                    <c:v>10</c:v>
                  </c:pt>
                  <c:pt idx="107">
                    <c:v>11</c:v>
                  </c:pt>
                  <c:pt idx="108">
                    <c:v>12</c:v>
                  </c:pt>
                  <c:pt idx="109">
                    <c:v>15</c:v>
                  </c:pt>
                  <c:pt idx="110">
                    <c:v>16</c:v>
                  </c:pt>
                  <c:pt idx="111">
                    <c:v>17</c:v>
                  </c:pt>
                  <c:pt idx="112">
                    <c:v>18</c:v>
                  </c:pt>
                  <c:pt idx="113">
                    <c:v>22</c:v>
                  </c:pt>
                  <c:pt idx="114">
                    <c:v>23</c:v>
                  </c:pt>
                  <c:pt idx="115">
                    <c:v>24</c:v>
                  </c:pt>
                  <c:pt idx="116">
                    <c:v>25</c:v>
                  </c:pt>
                  <c:pt idx="117">
                    <c:v>26</c:v>
                  </c:pt>
                  <c:pt idx="118">
                    <c:v>29</c:v>
                  </c:pt>
                  <c:pt idx="119">
                    <c:v>30</c:v>
                  </c:pt>
                  <c:pt idx="120">
                    <c:v>2</c:v>
                  </c:pt>
                  <c:pt idx="121">
                    <c:v>3</c:v>
                  </c:pt>
                  <c:pt idx="122">
                    <c:v>6</c:v>
                  </c:pt>
                  <c:pt idx="123">
                    <c:v>7</c:v>
                  </c:pt>
                  <c:pt idx="124">
                    <c:v>8</c:v>
                  </c:pt>
                  <c:pt idx="125">
                    <c:v>9</c:v>
                  </c:pt>
                  <c:pt idx="126">
                    <c:v>10</c:v>
                  </c:pt>
                  <c:pt idx="127">
                    <c:v>13</c:v>
                  </c:pt>
                  <c:pt idx="128">
                    <c:v>14</c:v>
                  </c:pt>
                  <c:pt idx="129">
                    <c:v>15</c:v>
                  </c:pt>
                  <c:pt idx="130">
                    <c:v>16</c:v>
                  </c:pt>
                  <c:pt idx="131">
                    <c:v>17</c:v>
                  </c:pt>
                  <c:pt idx="132">
                    <c:v>21</c:v>
                  </c:pt>
                  <c:pt idx="133">
                    <c:v>22</c:v>
                  </c:pt>
                  <c:pt idx="134">
                    <c:v>23</c:v>
                  </c:pt>
                  <c:pt idx="135">
                    <c:v>24</c:v>
                  </c:pt>
                  <c:pt idx="136">
                    <c:v>27</c:v>
                  </c:pt>
                  <c:pt idx="137">
                    <c:v>28</c:v>
                  </c:pt>
                  <c:pt idx="138">
                    <c:v>29</c:v>
                  </c:pt>
                  <c:pt idx="139">
                    <c:v>30</c:v>
                  </c:pt>
                  <c:pt idx="140">
                    <c:v>31</c:v>
                  </c:pt>
                  <c:pt idx="141">
                    <c:v>3</c:v>
                  </c:pt>
                  <c:pt idx="142">
                    <c:v>4</c:v>
                  </c:pt>
                  <c:pt idx="143">
                    <c:v>5</c:v>
                  </c:pt>
                  <c:pt idx="144">
                    <c:v>6</c:v>
                  </c:pt>
                  <c:pt idx="145">
                    <c:v>7</c:v>
                  </c:pt>
                  <c:pt idx="146">
                    <c:v>10</c:v>
                  </c:pt>
                  <c:pt idx="147">
                    <c:v>11</c:v>
                  </c:pt>
                  <c:pt idx="148">
                    <c:v>12</c:v>
                  </c:pt>
                  <c:pt idx="149">
                    <c:v>13</c:v>
                  </c:pt>
                  <c:pt idx="150">
                    <c:v>14</c:v>
                  </c:pt>
                  <c:pt idx="151">
                    <c:v>17</c:v>
                  </c:pt>
                  <c:pt idx="152">
                    <c:v>18</c:v>
                  </c:pt>
                  <c:pt idx="153">
                    <c:v>19</c:v>
                  </c:pt>
                  <c:pt idx="154">
                    <c:v>20</c:v>
                  </c:pt>
                  <c:pt idx="155">
                    <c:v>21</c:v>
                  </c:pt>
                  <c:pt idx="156">
                    <c:v>24</c:v>
                  </c:pt>
                  <c:pt idx="157">
                    <c:v>25</c:v>
                  </c:pt>
                  <c:pt idx="158">
                    <c:v>26</c:v>
                  </c:pt>
                  <c:pt idx="159">
                    <c:v>27</c:v>
                  </c:pt>
                  <c:pt idx="160">
                    <c:v>28</c:v>
                  </c:pt>
                  <c:pt idx="161">
                    <c:v>31</c:v>
                  </c:pt>
                  <c:pt idx="162">
                    <c:v>1</c:v>
                  </c:pt>
                  <c:pt idx="163">
                    <c:v>2</c:v>
                  </c:pt>
                  <c:pt idx="164">
                    <c:v>3</c:v>
                  </c:pt>
                  <c:pt idx="165">
                    <c:v>4</c:v>
                  </c:pt>
                  <c:pt idx="166">
                    <c:v>7</c:v>
                  </c:pt>
                  <c:pt idx="167">
                    <c:v>8</c:v>
                  </c:pt>
                  <c:pt idx="168">
                    <c:v>9</c:v>
                  </c:pt>
                  <c:pt idx="169">
                    <c:v>10</c:v>
                  </c:pt>
                  <c:pt idx="170">
                    <c:v>11</c:v>
                  </c:pt>
                  <c:pt idx="171">
                    <c:v>14</c:v>
                  </c:pt>
                  <c:pt idx="172">
                    <c:v>15</c:v>
                  </c:pt>
                  <c:pt idx="173">
                    <c:v>16</c:v>
                  </c:pt>
                  <c:pt idx="174">
                    <c:v>17</c:v>
                  </c:pt>
                  <c:pt idx="175">
                    <c:v>18</c:v>
                  </c:pt>
                  <c:pt idx="176">
                    <c:v>22</c:v>
                  </c:pt>
                  <c:pt idx="177">
                    <c:v>23</c:v>
                  </c:pt>
                </c:lvl>
                <c:lvl>
                  <c:pt idx="0">
                    <c:v>Jan</c:v>
                  </c:pt>
                  <c:pt idx="21">
                    <c:v>Feb</c:v>
                  </c:pt>
                  <c:pt idx="41">
                    <c:v>Mar</c:v>
                  </c:pt>
                  <c:pt idx="62">
                    <c:v>Apr</c:v>
                  </c:pt>
                  <c:pt idx="82">
                    <c:v>May</c:v>
                  </c:pt>
                  <c:pt idx="99">
                    <c:v>Jun</c:v>
                  </c:pt>
                  <c:pt idx="120">
                    <c:v>Jul</c:v>
                  </c:pt>
                  <c:pt idx="141">
                    <c:v>Aug</c:v>
                  </c:pt>
                  <c:pt idx="162">
                    <c:v>Sep</c:v>
                  </c:pt>
                </c:lvl>
              </c:multiLvlStrCache>
            </c:multiLvlStrRef>
          </c:cat>
          <c:val>
            <c:numRef>
              <c:f>'2015 YTD Graph '!$E$4:$E$181</c:f>
              <c:numCache>
                <c:formatCode>0.00%</c:formatCode>
                <c:ptCount val="178"/>
                <c:pt idx="0">
                  <c:v>2.0284790423972243E-3</c:v>
                </c:pt>
                <c:pt idx="1">
                  <c:v>-1.0313108794762105E-2</c:v>
                </c:pt>
                <c:pt idx="2">
                  <c:v>-1.9772649675644183E-2</c:v>
                </c:pt>
                <c:pt idx="3">
                  <c:v>-2.1479785503404236E-2</c:v>
                </c:pt>
                <c:pt idx="4">
                  <c:v>-2.6972746078608556E-2</c:v>
                </c:pt>
                <c:pt idx="5">
                  <c:v>-2.4080657146873907E-2</c:v>
                </c:pt>
                <c:pt idx="6">
                  <c:v>-2.5104938643529917E-2</c:v>
                </c:pt>
                <c:pt idx="7">
                  <c:v>-2.2363479343656456E-2</c:v>
                </c:pt>
                <c:pt idx="8">
                  <c:v>-2.0586049687694619E-2</c:v>
                </c:pt>
                <c:pt idx="9">
                  <c:v>-1.6509007651985264E-2</c:v>
                </c:pt>
                <c:pt idx="10">
                  <c:v>-1.7683918780502461E-2</c:v>
                </c:pt>
                <c:pt idx="11">
                  <c:v>-2.0214496595770348E-2</c:v>
                </c:pt>
                <c:pt idx="12">
                  <c:v>-1.9250466951858725E-2</c:v>
                </c:pt>
                <c:pt idx="13">
                  <c:v>-1.6519049627442661E-2</c:v>
                </c:pt>
                <c:pt idx="14">
                  <c:v>-2.0827057098672497E-2</c:v>
                </c:pt>
                <c:pt idx="15">
                  <c:v>-1.932076078006062E-2</c:v>
                </c:pt>
                <c:pt idx="16">
                  <c:v>-2.5868128778293253E-2</c:v>
                </c:pt>
                <c:pt idx="17">
                  <c:v>-2.458275591974457E-2</c:v>
                </c:pt>
                <c:pt idx="18">
                  <c:v>-1.3878010082143399E-2</c:v>
                </c:pt>
                <c:pt idx="19">
                  <c:v>-1.4500612560502946E-2</c:v>
                </c:pt>
                <c:pt idx="20">
                  <c:v>-1.6177622461890695E-2</c:v>
                </c:pt>
                <c:pt idx="21">
                  <c:v>-2.0586049687694619E-2</c:v>
                </c:pt>
                <c:pt idx="22">
                  <c:v>-1.7322407664035699E-2</c:v>
                </c:pt>
                <c:pt idx="23">
                  <c:v>-8.7666445743206367E-3</c:v>
                </c:pt>
                <c:pt idx="24">
                  <c:v>1.3054568094634789E-3</c:v>
                </c:pt>
                <c:pt idx="25">
                  <c:v>8.053664316844511E-3</c:v>
                </c:pt>
                <c:pt idx="26">
                  <c:v>6.3164025627120424E-3</c:v>
                </c:pt>
                <c:pt idx="27">
                  <c:v>2.2433773171858462E-2</c:v>
                </c:pt>
                <c:pt idx="28">
                  <c:v>2.6269807796589717E-2</c:v>
                </c:pt>
                <c:pt idx="29">
                  <c:v>2.5637163342772773E-2</c:v>
                </c:pt>
                <c:pt idx="30">
                  <c:v>3.8400514149143472E-2</c:v>
                </c:pt>
                <c:pt idx="31">
                  <c:v>4.8362153802896213E-2</c:v>
                </c:pt>
                <c:pt idx="32">
                  <c:v>4.683577353336954E-2</c:v>
                </c:pt>
                <c:pt idx="33">
                  <c:v>4.6213171055009994E-2</c:v>
                </c:pt>
                <c:pt idx="34">
                  <c:v>5.4738808218352641E-2</c:v>
                </c:pt>
                <c:pt idx="35">
                  <c:v>5.4789018095639852E-2</c:v>
                </c:pt>
                <c:pt idx="36">
                  <c:v>5.3845072402643135E-2</c:v>
                </c:pt>
                <c:pt idx="37">
                  <c:v>6.6377457773493242E-2</c:v>
                </c:pt>
                <c:pt idx="38">
                  <c:v>6.9811813379928145E-2</c:v>
                </c:pt>
                <c:pt idx="39">
                  <c:v>7.7584302383965076E-2</c:v>
                </c:pt>
                <c:pt idx="40">
                  <c:v>7.5686369022514022E-2</c:v>
                </c:pt>
                <c:pt idx="41">
                  <c:v>7.5475487537908448E-2</c:v>
                </c:pt>
                <c:pt idx="42">
                  <c:v>7.1900544275069755E-2</c:v>
                </c:pt>
                <c:pt idx="43">
                  <c:v>7.6188467795384796E-2</c:v>
                </c:pt>
                <c:pt idx="44">
                  <c:v>7.0263702275511708E-2</c:v>
                </c:pt>
                <c:pt idx="45">
                  <c:v>7.3828603562893003E-2</c:v>
                </c:pt>
                <c:pt idx="46">
                  <c:v>6.4439356510212598E-2</c:v>
                </c:pt>
                <c:pt idx="47">
                  <c:v>6.8476230644092251E-2</c:v>
                </c:pt>
                <c:pt idx="48">
                  <c:v>6.1306260167500071E-2</c:v>
                </c:pt>
                <c:pt idx="49">
                  <c:v>5.9689502118856819E-2</c:v>
                </c:pt>
                <c:pt idx="50">
                  <c:v>5.0842521740876778E-2</c:v>
                </c:pt>
                <c:pt idx="51">
                  <c:v>5.6315398365166303E-2</c:v>
                </c:pt>
                <c:pt idx="52">
                  <c:v>6.6487919503524839E-2</c:v>
                </c:pt>
                <c:pt idx="53">
                  <c:v>6.1928862645859617E-2</c:v>
                </c:pt>
                <c:pt idx="54">
                  <c:v>7.6901448052860921E-2</c:v>
                </c:pt>
                <c:pt idx="55">
                  <c:v>8.7495732160430606E-2</c:v>
                </c:pt>
                <c:pt idx="56">
                  <c:v>0.10553112008194243</c:v>
                </c:pt>
                <c:pt idx="57">
                  <c:v>0.10333192745676922</c:v>
                </c:pt>
                <c:pt idx="58">
                  <c:v>0.10858388062099578</c:v>
                </c:pt>
                <c:pt idx="59">
                  <c:v>0.10852362876825139</c:v>
                </c:pt>
                <c:pt idx="60">
                  <c:v>0.11619569801771412</c:v>
                </c:pt>
                <c:pt idx="61">
                  <c:v>0.11430780663172069</c:v>
                </c:pt>
                <c:pt idx="62">
                  <c:v>0.12287361169689293</c:v>
                </c:pt>
                <c:pt idx="63">
                  <c:v>0.12371713763531567</c:v>
                </c:pt>
                <c:pt idx="64">
                  <c:v>0.1266393524934224</c:v>
                </c:pt>
                <c:pt idx="65">
                  <c:v>0.13273483159607169</c:v>
                </c:pt>
                <c:pt idx="66">
                  <c:v>0.14305798236629119</c:v>
                </c:pt>
                <c:pt idx="67">
                  <c:v>0.12608704384326486</c:v>
                </c:pt>
                <c:pt idx="68">
                  <c:v>0.12210037958667219</c:v>
                </c:pt>
                <c:pt idx="69">
                  <c:v>0.1243799080155048</c:v>
                </c:pt>
                <c:pt idx="70">
                  <c:v>0.13206201924042493</c:v>
                </c:pt>
                <c:pt idx="71">
                  <c:v>0.12920005623506259</c:v>
                </c:pt>
                <c:pt idx="72">
                  <c:v>0.14584965154345153</c:v>
                </c:pt>
                <c:pt idx="73">
                  <c:v>0.14667309353095948</c:v>
                </c:pt>
                <c:pt idx="74">
                  <c:v>0.13923198971701711</c:v>
                </c:pt>
                <c:pt idx="75">
                  <c:v>0.14910325159165305</c:v>
                </c:pt>
                <c:pt idx="76">
                  <c:v>0.14752666144483939</c:v>
                </c:pt>
                <c:pt idx="77">
                  <c:v>0.15616276033821364</c:v>
                </c:pt>
                <c:pt idx="78">
                  <c:v>0.16829346669076739</c:v>
                </c:pt>
                <c:pt idx="79">
                  <c:v>0.1739470988732903</c:v>
                </c:pt>
                <c:pt idx="80">
                  <c:v>0.18187021750918841</c:v>
                </c:pt>
                <c:pt idx="81">
                  <c:v>0.19465365226647391</c:v>
                </c:pt>
                <c:pt idx="82">
                  <c:v>0.18909039786306758</c:v>
                </c:pt>
                <c:pt idx="83">
                  <c:v>0.17103492599064096</c:v>
                </c:pt>
                <c:pt idx="84">
                  <c:v>0.17710027916691762</c:v>
                </c:pt>
                <c:pt idx="85">
                  <c:v>0.18069530638067111</c:v>
                </c:pt>
                <c:pt idx="86">
                  <c:v>0.19790725231467543</c:v>
                </c:pt>
                <c:pt idx="87">
                  <c:v>0.20777851418931137</c:v>
                </c:pt>
                <c:pt idx="88">
                  <c:v>0.21749914643208612</c:v>
                </c:pt>
                <c:pt idx="89">
                  <c:v>0.22655700829467174</c:v>
                </c:pt>
                <c:pt idx="90">
                  <c:v>0.23135707256331473</c:v>
                </c:pt>
                <c:pt idx="91">
                  <c:v>0.22830431202426138</c:v>
                </c:pt>
                <c:pt idx="92">
                  <c:v>0.21670583037095059</c:v>
                </c:pt>
                <c:pt idx="93">
                  <c:v>0.20620192404249771</c:v>
                </c:pt>
                <c:pt idx="94">
                  <c:v>0.21914603040710179</c:v>
                </c:pt>
                <c:pt idx="95">
                  <c:v>0.2397822899720834</c:v>
                </c:pt>
                <c:pt idx="96">
                  <c:v>0.22429756381675414</c:v>
                </c:pt>
                <c:pt idx="97">
                  <c:v>0.22659717619650133</c:v>
                </c:pt>
                <c:pt idx="98">
                  <c:v>0.21852342792874224</c:v>
                </c:pt>
                <c:pt idx="99">
                  <c:v>0.23053363057580678</c:v>
                </c:pt>
                <c:pt idx="100">
                  <c:v>0.23396798618224168</c:v>
                </c:pt>
                <c:pt idx="101">
                  <c:v>0.24782591231347029</c:v>
                </c:pt>
                <c:pt idx="102">
                  <c:v>0.2593239742122071</c:v>
                </c:pt>
                <c:pt idx="103">
                  <c:v>0.26404370267719068</c:v>
                </c:pt>
                <c:pt idx="104">
                  <c:v>0.25901267297302732</c:v>
                </c:pt>
                <c:pt idx="105">
                  <c:v>0.2615332088128377</c:v>
                </c:pt>
                <c:pt idx="106">
                  <c:v>0.26628306320419348</c:v>
                </c:pt>
                <c:pt idx="107">
                  <c:v>0.29128758209314931</c:v>
                </c:pt>
                <c:pt idx="108">
                  <c:v>0.30226346126810055</c:v>
                </c:pt>
                <c:pt idx="109">
                  <c:v>0.30709365146311574</c:v>
                </c:pt>
                <c:pt idx="110">
                  <c:v>0.32769978510172515</c:v>
                </c:pt>
                <c:pt idx="111">
                  <c:v>0.33647647165150318</c:v>
                </c:pt>
                <c:pt idx="112">
                  <c:v>0.35477295093490802</c:v>
                </c:pt>
                <c:pt idx="113">
                  <c:v>0.35963326705629539</c:v>
                </c:pt>
                <c:pt idx="114">
                  <c:v>0.35367837561005011</c:v>
                </c:pt>
                <c:pt idx="115">
                  <c:v>0.35543572131509715</c:v>
                </c:pt>
                <c:pt idx="116">
                  <c:v>0.36056717077383471</c:v>
                </c:pt>
                <c:pt idx="117">
                  <c:v>0.36410194613484359</c:v>
                </c:pt>
                <c:pt idx="118">
                  <c:v>0.36987608202285549</c:v>
                </c:pt>
                <c:pt idx="119">
                  <c:v>0.37243678576449568</c:v>
                </c:pt>
                <c:pt idx="120">
                  <c:v>0.31417324416059134</c:v>
                </c:pt>
                <c:pt idx="121">
                  <c:v>0.25825952481372139</c:v>
                </c:pt>
                <c:pt idx="122">
                  <c:v>0.23287341085738378</c:v>
                </c:pt>
                <c:pt idx="123">
                  <c:v>0.17597557791568752</c:v>
                </c:pt>
                <c:pt idx="124">
                  <c:v>0.13039505131449469</c:v>
                </c:pt>
                <c:pt idx="125">
                  <c:v>9.609166315197526E-2</c:v>
                </c:pt>
                <c:pt idx="126">
                  <c:v>7.6600188789138546E-2</c:v>
                </c:pt>
                <c:pt idx="127">
                  <c:v>3.8842361069269637E-2</c:v>
                </c:pt>
                <c:pt idx="128">
                  <c:v>3.6231447450342458E-2</c:v>
                </c:pt>
                <c:pt idx="129">
                  <c:v>3.8089212909963699E-2</c:v>
                </c:pt>
                <c:pt idx="130">
                  <c:v>1.9310718804603333E-2</c:v>
                </c:pt>
                <c:pt idx="131">
                  <c:v>1.5655439738105237E-2</c:v>
                </c:pt>
                <c:pt idx="132">
                  <c:v>2.039525215400384E-2</c:v>
                </c:pt>
                <c:pt idx="133">
                  <c:v>2.8298286838986941E-2</c:v>
                </c:pt>
                <c:pt idx="134">
                  <c:v>2.5215400373561403E-2</c:v>
                </c:pt>
                <c:pt idx="135">
                  <c:v>2.5064770741700215E-2</c:v>
                </c:pt>
                <c:pt idx="136">
                  <c:v>5.3041714366049986E-2</c:v>
                </c:pt>
                <c:pt idx="137">
                  <c:v>6.9631057821694764E-2</c:v>
                </c:pt>
                <c:pt idx="138">
                  <c:v>7.4591793697656117E-2</c:v>
                </c:pt>
                <c:pt idx="139">
                  <c:v>8.086802835853879E-2</c:v>
                </c:pt>
                <c:pt idx="140">
                  <c:v>8.8761021068064494E-2</c:v>
                </c:pt>
                <c:pt idx="141">
                  <c:v>0.11368520415336114</c:v>
                </c:pt>
                <c:pt idx="142">
                  <c:v>0.12740254262818573</c:v>
                </c:pt>
                <c:pt idx="143">
                  <c:v>0.15126227631499667</c:v>
                </c:pt>
                <c:pt idx="144">
                  <c:v>0.15987829125745612</c:v>
                </c:pt>
                <c:pt idx="145">
                  <c:v>0.16679721234761313</c:v>
                </c:pt>
                <c:pt idx="146">
                  <c:v>0.17977144463858941</c:v>
                </c:pt>
                <c:pt idx="147">
                  <c:v>0.1866100299250868</c:v>
                </c:pt>
                <c:pt idx="148">
                  <c:v>0.20261693880420162</c:v>
                </c:pt>
                <c:pt idx="149">
                  <c:v>0.21220702536602998</c:v>
                </c:pt>
                <c:pt idx="150">
                  <c:v>0.22631600088369375</c:v>
                </c:pt>
                <c:pt idx="151">
                  <c:v>0.22881645277258933</c:v>
                </c:pt>
                <c:pt idx="152">
                  <c:v>0.23837641340804572</c:v>
                </c:pt>
                <c:pt idx="153">
                  <c:v>0.24526520857183032</c:v>
                </c:pt>
                <c:pt idx="154">
                  <c:v>0.25371050993151378</c:v>
                </c:pt>
                <c:pt idx="155">
                  <c:v>0.26485710268924101</c:v>
                </c:pt>
                <c:pt idx="156">
                  <c:v>0.27465807073567516</c:v>
                </c:pt>
                <c:pt idx="157">
                  <c:v>0.27626478680886102</c:v>
                </c:pt>
                <c:pt idx="158">
                  <c:v>0.26857263360848349</c:v>
                </c:pt>
                <c:pt idx="159">
                  <c:v>0.25725532726798006</c:v>
                </c:pt>
                <c:pt idx="160">
                  <c:v>0.24867948022735042</c:v>
                </c:pt>
                <c:pt idx="161">
                  <c:v>0.21026892410274955</c:v>
                </c:pt>
                <c:pt idx="162">
                  <c:v>0.16427667650780253</c:v>
                </c:pt>
                <c:pt idx="163">
                  <c:v>0.15056938000843534</c:v>
                </c:pt>
                <c:pt idx="164">
                  <c:v>0.13268462171878448</c:v>
                </c:pt>
                <c:pt idx="165">
                  <c:v>0.1314896266393526</c:v>
                </c:pt>
                <c:pt idx="166">
                  <c:v>0.13743447611014048</c:v>
                </c:pt>
                <c:pt idx="167">
                  <c:v>0.14631158241449249</c:v>
                </c:pt>
                <c:pt idx="168">
                  <c:v>0.14755678737121158</c:v>
                </c:pt>
                <c:pt idx="169">
                  <c:v>0.1544656664859112</c:v>
                </c:pt>
                <c:pt idx="170">
                  <c:v>0.15307987387278832</c:v>
                </c:pt>
                <c:pt idx="171">
                  <c:v>0.17003072844489964</c:v>
                </c:pt>
                <c:pt idx="172">
                  <c:v>0.17584503223474113</c:v>
                </c:pt>
                <c:pt idx="173">
                  <c:v>0.19457331646281451</c:v>
                </c:pt>
                <c:pt idx="174">
                  <c:v>0.20192404249764007</c:v>
                </c:pt>
                <c:pt idx="175">
                  <c:v>0.20431403265650427</c:v>
                </c:pt>
                <c:pt idx="176">
                  <c:v>0.18416982988893582</c:v>
                </c:pt>
                <c:pt idx="177">
                  <c:v>0.165943644433733</c:v>
                </c:pt>
              </c:numCache>
            </c:numRef>
          </c:val>
        </c:ser>
        <c:dLbls>
          <c:showLegendKey val="0"/>
          <c:showVal val="0"/>
          <c:showCatName val="0"/>
          <c:showSerName val="0"/>
          <c:showPercent val="0"/>
          <c:showBubbleSize val="0"/>
        </c:dLbls>
        <c:gapWidth val="74"/>
        <c:overlap val="35"/>
        <c:axId val="114108288"/>
        <c:axId val="114116864"/>
      </c:barChart>
      <c:catAx>
        <c:axId val="114108288"/>
        <c:scaling>
          <c:orientation val="minMax"/>
        </c:scaling>
        <c:delete val="0"/>
        <c:axPos val="b"/>
        <c:numFmt formatCode="General" sourceLinked="0"/>
        <c:majorTickMark val="none"/>
        <c:minorTickMark val="none"/>
        <c:tickLblPos val="nextTo"/>
        <c:spPr>
          <a:ln>
            <a:noFill/>
          </a:ln>
        </c:spPr>
        <c:txPr>
          <a:bodyPr/>
          <a:lstStyle/>
          <a:p>
            <a:pPr>
              <a:defRPr b="1">
                <a:solidFill>
                  <a:schemeClr val="accent4">
                    <a:lumMod val="75000"/>
                  </a:schemeClr>
                </a:solidFill>
              </a:defRPr>
            </a:pPr>
            <a:endParaRPr lang="en-US"/>
          </a:p>
        </c:txPr>
        <c:crossAx val="114116864"/>
        <c:crosses val="autoZero"/>
        <c:auto val="1"/>
        <c:lblAlgn val="ctr"/>
        <c:lblOffset val="100"/>
        <c:noMultiLvlLbl val="0"/>
      </c:catAx>
      <c:valAx>
        <c:axId val="114116864"/>
        <c:scaling>
          <c:orientation val="minMax"/>
        </c:scaling>
        <c:delete val="0"/>
        <c:axPos val="l"/>
        <c:majorGridlines>
          <c:spPr>
            <a:ln>
              <a:solidFill>
                <a:schemeClr val="accent4">
                  <a:lumMod val="20000"/>
                  <a:lumOff val="80000"/>
                </a:schemeClr>
              </a:solidFill>
            </a:ln>
          </c:spPr>
        </c:majorGridlines>
        <c:numFmt formatCode="0.00%" sourceLinked="1"/>
        <c:majorTickMark val="none"/>
        <c:minorTickMark val="none"/>
        <c:tickLblPos val="nextTo"/>
        <c:txPr>
          <a:bodyPr/>
          <a:lstStyle/>
          <a:p>
            <a:pPr>
              <a:defRPr sz="900" b="1">
                <a:solidFill>
                  <a:schemeClr val="accent4">
                    <a:lumMod val="75000"/>
                  </a:schemeClr>
                </a:solidFill>
              </a:defRPr>
            </a:pPr>
            <a:endParaRPr lang="en-US"/>
          </a:p>
        </c:txPr>
        <c:crossAx val="114108288"/>
        <c:crosses val="autoZero"/>
        <c:crossBetween val="between"/>
      </c:valAx>
      <c:spPr>
        <a:solidFill>
          <a:schemeClr val="accent4">
            <a:lumMod val="20000"/>
            <a:lumOff val="80000"/>
          </a:schemeClr>
        </a:solidFill>
      </c:spPr>
    </c:plotArea>
    <c:legend>
      <c:legendPos val="b"/>
      <c:layout/>
      <c:overlay val="0"/>
      <c:txPr>
        <a:bodyPr/>
        <a:lstStyle/>
        <a:p>
          <a:pPr>
            <a:defRPr b="1">
              <a:solidFill>
                <a:schemeClr val="accent4">
                  <a:lumMod val="75000"/>
                </a:schemeClr>
              </a:solidFill>
            </a:defRPr>
          </a:pPr>
          <a:endParaRPr lang="en-US"/>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E81C5-106A-42A7-A40A-F8C75B0BC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347</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osei</dc:creator>
  <cp:lastModifiedBy>Derek</cp:lastModifiedBy>
  <cp:revision>9</cp:revision>
  <cp:lastPrinted>2015-09-14T07:22:00Z</cp:lastPrinted>
  <dcterms:created xsi:type="dcterms:W3CDTF">2015-09-25T15:10:00Z</dcterms:created>
  <dcterms:modified xsi:type="dcterms:W3CDTF">2015-09-25T17:22:00Z</dcterms:modified>
</cp:coreProperties>
</file>